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color w:val="1F3864"/>
          <w:sz w:val="40"/>
          <w:szCs w:val="40"/>
        </w:rPr>
        <w:t xml:space="preserve">VERIXA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3-Year Financial Plan &amp; Investor Narrative — FY2027–FY2029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1F3864"/>
          <w:sz w:val="18"/>
          <w:szCs w:val="18"/>
        </w:rPr>
        <w:t xml:space="preserve">AI-native GxP eQMS SaaS for Pharma/Biotech  ·  Aeonn Ark Group  ·  2026-06-03  ·  Dual INR/USD (₹96/$)</w:t>
      </w:r>
    </w:p>
    <w:p>
      <w:pPr>
        <w:spacing w:after="2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Status — assumption-driven model. </w:t>
      </w:r>
      <w:r>
        <w:rPr>
          <w:rFonts w:ascii="Arial" w:cs="Arial" w:eastAsia="Arial" w:hAnsi="Arial"/>
          <w:sz w:val="20"/>
          <w:szCs w:val="20"/>
        </w:rPr>
        <w:t xml:space="preserve">Verixa pricing is not yet set by the company; every figure here is a reasoned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[Assumed]</w:t>
      </w:r>
      <w:r>
        <w:rPr>
          <w:rFonts w:ascii="Arial" w:cs="Arial" w:eastAsia="Arial" w:hAnsi="Arial"/>
          <w:sz w:val="20"/>
          <w:szCs w:val="20"/>
        </w:rPr>
        <w:t xml:space="preserve"> input, fully editable in the companion Excel model. Numbers below are recomputed live from that model.</w:t>
      </w:r>
    </w:p>
    <w:p>
      <w:pPr>
        <w:pStyle w:val="Heading1"/>
      </w:pPr>
      <w:r>
        <w:t xml:space="preserve">1. Thesis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Verixa is an AI-native electronic Quality Management System (eQMS) for regulated pharma and biotech. It targets the mid-market in two geographies — India (Revised Schedule M upgrade cycle) and the United States (21 CFR Part 11 / data-integrity demand) — with a founder-led, domain-credentialed sales motion. The wedge is six GxP-critical workflows (Document Control, Deviation, RCA, CAPA, AI-Governance Evidence, Inspection Readiness) plus MIRA, an advisory AI engine, with batch disposition and OOS deferred to Phase 3 to keep validation load disciplined.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The financial story: reach roughly $6.3M exit ARR and near-EBITDA-breakeven by Year 3 on a capital-efficient base, funded by a ~$1.5M seed (Year 1) and a ~$7M Series A (Year 2).</w:t>
      </w:r>
    </w:p>
    <w:p>
      <w:pPr>
        <w:pStyle w:val="Heading1"/>
      </w:pPr>
      <w:r>
        <w:t xml:space="preserve">2. Market &amp; ICP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ICP: India + USA pharma/biotech mid-market QA/RA buyers (Head of Quality, Plant QA Head, QA/CSV leads).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India tailwind: Revised Schedule M (CDSCO) phased compliance pushing mid-market manufacturers to modernise QMS. [Unverified — confirm cohort deadlines with counsel]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US tailwind: established Part 11 / Annex 11 / data-integrity expectations; higher willingness-to-pay and ACV.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Channel note: the Tamil Nadu territory in the Scopeyard partner memo is a channel-partner scope, not Verixa's ICP. Direct founder-led selling spans all-India + US.</w:t>
      </w:r>
    </w:p>
    <w:p>
      <w:pPr>
        <w:pStyle w:val="Heading1"/>
      </w:pPr>
      <w:r>
        <w:t xml:space="preserve">3. Three-Year Financial Summary (₹ Crore)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2000"/>
        <w:gridCol w:w="2000"/>
        <w:gridCol w:w="2000"/>
      </w:tblGrid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₹ Crore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Year 1
FY27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Year 2
FY28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Year 3
FY29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Total revenue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3.60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17.38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50.85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 Subscription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2.13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12.35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39.55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 Services (one-time)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1.47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5.03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11.29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Exit ARR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4.26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20.43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58.68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Gross profit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2.41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12.39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37.52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Gross margin 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67%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71%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74%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Total opex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(9.20)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(22.58)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(41.48)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EBITDA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(6.79)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(10.19)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(3.96)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Headcount (EOY)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76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Total logos (EOY)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78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18"/>
          <w:szCs w:val="18"/>
        </w:rPr>
        <w:t xml:space="preserve">USD view (FX ₹86/$): revenue $0.37M → $1.81M → $5.30M; exit ARR $0.44M → $2.13M → $6.11M.</w:t>
      </w:r>
    </w:p>
    <w:p>
      <w:pPr>
        <w:pStyle w:val="Heading1"/>
      </w:pPr>
      <w:r>
        <w:t xml:space="preserve">4. Revenue Model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Bottoms-up by geography × segment. Blended/tiered pricing [Assumed]: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000"/>
        <w:gridCol w:w="3000"/>
      </w:tblGrid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Year-1 ACV (₹)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Approx USD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India mid-market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₹30,00,000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$31.2k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India enterprise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₹1,00,00,000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$104k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US mid-market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₹72,00,000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$75k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US enterprise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₹1,92,00,000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$200k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 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New logos/year — India mid 3→12→24, India ent 0→2→4, US mid 2→8→18, US ent 1→2→5. Drivers: 5% annual price escalation, 8% gross logo churn, 105% net revenue retention, 82% software / 45% services gross margin. [All Assumed]</w:t>
      </w:r>
    </w:p>
    <w:p>
      <w:pPr>
        <w:pStyle w:val="Heading1"/>
      </w:pPr>
      <w:r>
        <w:t xml:space="preserve">5. Unit Economics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2000"/>
        <w:gridCol w:w="2000"/>
        <w:gridCol w:w="2000"/>
      </w:tblGrid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Year 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Year 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Year 3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Fully-loaded CAC (₹/logo)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27.5L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27.9L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27.6L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CAC payback (months)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5.7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6.1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5.4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LTV / CAC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26.5x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24.7x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27.8x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Net revenue retention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105%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105%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105%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Gross margin 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67%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71%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74%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Burn multiple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1.59x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0.63x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0.10x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18"/>
          <w:szCs w:val="18"/>
        </w:rPr>
        <w:t xml:space="preserve">Caveat: LTV/CAC is flattered by the assumed 8% churn (12.5-yr implied life). Treat &gt;20x as optimistic; the downside scenario and a higher-churn stress case should be shown to investors.</w:t>
      </w:r>
    </w:p>
    <w:p>
      <w:pPr>
        <w:pStyle w:val="Heading1"/>
      </w:pPr>
      <w:r>
        <w:t xml:space="preserve">6. Capital, Cash &amp; Use of Funds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2000"/>
        <w:gridCol w:w="2000"/>
        <w:gridCol w:w="2000"/>
      </w:tblGrid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₹ Crore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Year 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Year 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Year 3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Capital raised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14.40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67.20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–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EBITDA (cash proxy)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(6.79)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(10.19)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(3.96)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Closing cash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9.61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66.62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1F2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62.65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Closing cash (USD $mm)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$1.00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$6.94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$6.53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Total raised over the window ≈ ₹81.6 Cr (~$8.5M): seed ~$1.5M (Year 1) + Series A ~$7M (Year 2). Cumulative EBITDA burn ≈ ₹20.9 Cr. The large Year-3 cash cushion is deliberate — it funds Year-4/5 US scale-up and de-risks the path to profitability; a tighter ~$5M Series A is a viable alternative (see scenarios).</w:t>
      </w:r>
    </w:p>
    <w:p>
      <w:pPr>
        <w:pStyle w:val="Heading2"/>
      </w:pPr>
      <w:r>
        <w:t xml:space="preserve">Indicative Series A use of funds (~$7M)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Engineering &amp; product (Phase-3 modules, scale): ~40%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US + India GTM (sales, CS, demand gen, partners): ~30%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Validation, compliance &amp; certifications (Part 11, Annex 11, SOC 2): ~12%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Cloud / AI-LLM infrastructure: ~8%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G&amp;A, legal &amp; IP (patent suite), buffer: ~10%</w:t>
      </w:r>
    </w:p>
    <w:p>
      <w:pPr>
        <w:pStyle w:val="Heading1"/>
      </w:pPr>
      <w:r>
        <w:t xml:space="preserve">7. Scenarios (Year-3 exit)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2000"/>
        <w:gridCol w:w="2000"/>
        <w:gridCol w:w="2000"/>
      </w:tblGrid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Downside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Upside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Exit ARR (₹ Cr)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35.2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58.7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82.2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Exit ARR (USD $mm)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$3.7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$6.1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$8.6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Total revenue (₹ Cr)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30.5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50.9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71.2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18"/>
          <w:szCs w:val="18"/>
        </w:rPr>
        <w:t xml:space="preserve">Downside/upside flex logo additions ±60% with opex broadly held; hiring can flex to protect runway. [Assumed]</w:t>
      </w:r>
    </w:p>
    <w:p>
      <w:pPr>
        <w:pStyle w:val="Heading1"/>
      </w:pPr>
      <w:r>
        <w:t xml:space="preserve">8. Key Risks (Red-Team)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Pricing unproven: no ACV is validated yet. The entire revenue build is sensitive to the assumed ACVs — lock pricing before any external use.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Two-geography execution risk: US selling needs different motion, compliance posture and CAC than India; under-resourcing either splits focus.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Validation/regulatory load: GxP credibility requires executed validation evidence; 'verified' ≠ 'validated' until QA-dispositioned with the design partner.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Churn optimism: 8% churn drives the strong LTV; a regulated-SaaS reality of 12–15% materially compresses LTV/CAC.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Concentration: early ARR rests on a handful of pilot conversions; one or two slipped logos swings Year-1/2 sharply.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Founder-bandwidth: founder-led sales across two geographies is a dependency to systematise as headcount grows.</w:t>
      </w:r>
    </w:p>
    <w:p>
      <w:pPr>
        <w:pStyle w:val="Heading1"/>
      </w:pPr>
      <w:r>
        <w:t xml:space="preserve">9. Milestones &amp; Decision Gates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Gate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Trigger / what must be true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Pilot go-live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~Sep 2026 — 6 workflows + MIRA live with India + US design partners; executed validation evidence.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Pricing lock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ACV bands signed off (CFO) before any commercial quote or investor representation.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Seed close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~$1.5M, Year 1 — funds pilot-to-paid conversion and core team.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Series A readiness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≥ ~$1.5–2M ARR run-rate, ≥2 US logos, NRR &gt;100%, validation pack inspection-ready.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Kill / reversal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Pilot validation fails, or &lt;2 paid conversions by Q4 FY27 → pause US spend, reset pricing &amp; ICP.</w:t>
            </w:r>
          </w:p>
        </w:tc>
      </w:tr>
    </w:tbl>
    <w:p>
      <w:pPr>
        <w:pStyle w:val="Heading1"/>
      </w:pPr>
      <w:r>
        <w:t xml:space="preserve">10. Assumptions Register (editable in the model)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FX ₹96/$ · price escalation 5% · gross churn 8% · NRR 105% · software GM 82% · services GM 45% · ACVs and logo counts per §4 · cost/head: Eng ₹38L, Prod/QA ₹45L, GTM ₹35L, G&amp;A ₹28L · opening cash ₹2 Cr · seed ₹14.4 Cr, Series A ₹67.2 Cr. All [Assumed]; change them in the Assumptions tab and the model recomputes.</w:t>
      </w:r>
    </w:p>
    <w:p>
      <w:pPr>
        <w:pStyle w:val="Heading1"/>
      </w:pPr>
      <w:r>
        <w:t xml:space="preserve">Disclaimer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18"/>
          <w:szCs w:val="18"/>
        </w:rPr>
        <w:t xml:space="preserve">Strategic and planning guidance only, prepared under Aeonn founder-advisor discipline (survival before growth; cash before narrative; evidence before opinion). Not legal, tax, accounting, or investment-banking advice. Pricing, market deadlines, and entity/tax treatment are unverified and must be validated by a CA / CFO / counsel before any fundraise representation or board approval.</w:t>
      </w:r>
    </w:p>
    <w:sectPr>
      <w:footerReference w:type="default" r:id="rId7"/>
      <w:pgSz w:w="12240" w:h="15840" w:orient="portrait"/>
      <w:pgMar w:top="1296" w:right="1440" w:bottom="1296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08080"/>
        <w:sz w:val="16"/>
        <w:szCs w:val="16"/>
      </w:rPr>
      <w:t xml:space="preserve">Verixa — Confidential — assumption-driven model · Page </w:t>
    </w:r>
    <w:r>
      <w:rPr>
        <w:rFonts w:ascii="Arial" w:cs="Arial" w:eastAsia="Arial" w:hAnsi="Arial"/>
        <w:color w:val="8080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F3864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80" w:before="160"/>
      <w:outlineLvl w:val="1"/>
    </w:pPr>
    <w:rPr>
      <w:rFonts w:ascii="Arial" w:cs="Arial" w:eastAsia="Arial" w:hAnsi="Arial"/>
      <w:b/>
      <w:bCs/>
      <w:color w:val="1F386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openxmlformats.org/officeDocument/2006/relationships/endnotes" Target="endnotes.xml"/><Relationship Id="rId9" Type="http://schemas.openxmlformats.org/officeDocument/2006/relationships/customXml" Target="../customXml/item1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DC9293DBB0D4190A49C07FE5C5C42" ma:contentTypeVersion="10" ma:contentTypeDescription="Create a new document." ma:contentTypeScope="" ma:versionID="ee3347f9e17981830c50ed8ff15275ab">
  <xsd:schema xmlns:xsd="http://www.w3.org/2001/XMLSchema" xmlns:xs="http://www.w3.org/2001/XMLSchema" xmlns:p="http://schemas.microsoft.com/office/2006/metadata/properties" xmlns:ns2="76935354-188e-47b9-bde5-cf8fba0c8be5" targetNamespace="http://schemas.microsoft.com/office/2006/metadata/properties" ma:root="true" ma:fieldsID="b913bbdfa129bc70be1f2aed6f7204eb" ns2:_="">
    <xsd:import namespace="76935354-188e-47b9-bde5-cf8fba0c8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35354-188e-47b9-bde5-cf8fba0c8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454207-aa0b-49b1-9516-5a42b324ee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35354-188e-47b9-bde5-cf8fba0c8b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47CE6B-2A3D-4EEE-87A4-576EAC38AA33}"/>
</file>

<file path=customXml/itemProps2.xml><?xml version="1.0" encoding="utf-8"?>
<ds:datastoreItem xmlns:ds="http://schemas.openxmlformats.org/officeDocument/2006/customXml" ds:itemID="{C489C840-892D-400A-840A-B6B41991BABB}"/>
</file>

<file path=customXml/itemProps3.xml><?xml version="1.0" encoding="utf-8"?>
<ds:datastoreItem xmlns:ds="http://schemas.openxmlformats.org/officeDocument/2006/customXml" ds:itemID="{0F4D8474-F6BE-4970-964E-F344642CF8FC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2026-06-03T13:10:43Z</dcterms:created>
  <dcterms:modified xsi:type="dcterms:W3CDTF">2026-06-03T13:10:43Z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0x01010072CDC9293DBB0D4190A49C07FE5C5C42</vt:lpwstr>
  </property>
</Properties>
</file>