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after="240"/>
        <w:jc w:val="center"/>
      </w:pPr>
      <w:r>
        <w:rPr>
          <w:b/>
          <w:bCs/>
          <w:color w:val="B22222"/>
          <w:sz w:val="22"/>
          <w:szCs w:val="22"/>
        </w:rPr>
        <w:t xml:space="preserve">CONFIDENTIAL — NDA-PROTECTED MATERIAL</w:t>
      </w:r>
    </w:p>
    <w:p>
      <w:pPr>
        <w:spacing w:after="240"/>
        <w:jc w:val="center"/>
      </w:pPr>
      <w:r>
        <w:rPr>
          <w:b/>
          <w:bCs/>
          <w:color w:val="0F3D5C"/>
          <w:sz w:val="56"/>
          <w:szCs w:val="56"/>
        </w:rPr>
        <w:t xml:space="preserve">VERIXA</w:t>
      </w:r>
    </w:p>
    <w:p>
      <w:pPr>
        <w:spacing w:after="480"/>
        <w:jc w:val="center"/>
      </w:pPr>
      <w:r>
        <w:rPr>
          <w:color w:val="404040"/>
          <w:sz w:val="32"/>
          <w:szCs w:val="32"/>
        </w:rPr>
        <w:t xml:space="preserve">Intellectual Property Narrative</w:t>
      </w:r>
    </w:p>
    <w:p>
      <w:pPr>
        <w:spacing w:after="200"/>
        <w:jc w:val="center"/>
      </w:pPr>
      <w:r>
        <w:rPr>
          <w:i/>
          <w:iCs/>
          <w:color w:val="666666"/>
          <w:sz w:val="22"/>
          <w:szCs w:val="22"/>
        </w:rPr>
        <w:t xml:space="preserve">AI-Native Quality Management for Pharma — Architected for Annex 22, EU AI Act, and FDA CSA</w:t>
      </w:r>
    </w:p>
    <w:p>
      <w:pPr>
        <w:spacing w:after="480"/>
        <w:jc w:val="center"/>
      </w:pPr>
      <w:r>
        <w:rPr>
          <w:sz w:val="22"/>
          <w:szCs w:val="22"/>
        </w:rPr>
        <w:t xml:space="preserve">For: Investor &amp; Design-Partner Data Room</w:t>
      </w:r>
    </w:p>
    <w:p>
      <w:pPr>
        <w:spacing w:after="120"/>
        <w:jc w:val="center"/>
      </w:pPr>
      <w:r>
        <w:rPr>
          <w:sz w:val="22"/>
          <w:szCs w:val="22"/>
        </w:rPr>
        <w:t xml:space="preserve">Issued by: Aeonn Ark Pvt Ltd (Aeonn Health → NaviraQA → Verixa)</w:t>
      </w:r>
    </w:p>
    <w:p>
      <w:pPr>
        <w:spacing w:after="480"/>
        <w:jc w:val="center"/>
      </w:pPr>
      <w:r>
        <w:rPr>
          <w:sz w:val="22"/>
          <w:szCs w:val="22"/>
        </w:rPr>
        <w:t xml:space="preserve">Date: 24 May 2026  |  Version: 1.0</w:t>
      </w:r>
    </w:p>
    <w:p>
      <w:pPr>
        <w:spacing w:after="240"/>
        <w:jc w:val="center"/>
      </w:pPr>
      <w:r>
        <w:rPr>
          <w:i/>
          <w:iCs/>
          <w:color w:val="666666"/>
          <w:sz w:val="18"/>
          <w:szCs w:val="18"/>
        </w:rPr>
        <w:t xml:space="preserve">Disclosure of this document is governed by the executed Mutual NDA with the recipient organisation.</w:t>
      </w:r>
    </w:p>
    <w:p>
      <w:r>
        <w:br w:type="page"/>
      </w:r>
    </w:p>
    <w:p>
      <w:pPr>
        <w:pStyle w:val="Heading1"/>
        <w:spacing w:before="320" w:after="180"/>
      </w:pPr>
      <w:r>
        <w:t xml:space="preserve">1. The IP Thesis in One Page</w:t>
      </w:r>
    </w:p>
    <w:p>
      <w:pPr>
        <w:spacing w:after="140"/>
      </w:pPr>
      <w:r>
        <w:t xml:space="preserve">Verixa is the first quality management system architected for the next decade of pharma regulation — not retrofitted to it. Three regulatory waves are converging: the EU AI Act (high-risk pharma AI operational 2 August 2026), EU GMP Annex 22 (draft 2025; enforcement expected 2027–2028), and FDA Computer Software Assurance (final September 2025; QMSR alignment February 2026). Each imposes machine-level technical requirements: validated AI models, human oversight, lifecycle change-control, tamper-evident logging, data integrity. The incumbents — Veeva Vault QMS, MasterControl, Honeywell Sparta TrackWise Digital, Hexagon (Octave Reliance/ETQ) — are bolting AI onto platforms designed for the prior generation of regulations. Verixa was architected for the new generation from day one.</w:t>
      </w:r>
    </w:p>
    <w:p>
      <w:pPr>
        <w:spacing w:after="140"/>
      </w:pPr>
      <w:r>
        <w:t xml:space="preserve">That architectural lead translates directly into a defensible intellectual-property position. Eight invention candidates — code-grounded, prior-art-differentiated, regulatorily anchored — are entering the patent system on a provisional-first basis in India (priority) and the United States (Paris Convention 12-month conversion). The first three Tier 1 filings cover the headline architectural inventions; the remaining five secure the surrounding moat. Total 5-year capital envelope: USD 250,000–400,000, staged against design-partner LOIs and Series A close.</w:t>
      </w:r>
    </w:p>
    <w:p>
      <w:pPr>
        <w:spacing w:after="140"/>
      </w:pPr>
      <w:r>
        <w:t xml:space="preserve">This document explains what is being patented, what is being kept as trade secret, where the defensibility comes from, and how the IP roadmap aligns with the product roadmap. It is offered to investors and design partners under NDA so that we can have a substantive conversation about the technical and commercial moat without compromising the unfiled portions of the portfolio.</w:t>
      </w:r>
    </w:p>
    <w:p>
      <w:r>
        <w:br w:type="page"/>
      </w:r>
    </w:p>
    <w:p>
      <w:pPr>
        <w:pStyle w:val="Heading1"/>
        <w:spacing w:before="320" w:after="180"/>
      </w:pPr>
      <w:r>
        <w:t xml:space="preserve">2. Why This Matters Now — The Regulatory Wave</w:t>
      </w:r>
    </w:p>
    <w:p>
      <w:pPr>
        <w:spacing w:after="140"/>
      </w:pPr>
      <w:r>
        <w:t xml:space="preserve">The three regulations below create the largest single shift in pharma software compliance since 21 CFR Part 11 was enacted in 1997. Each carries machine-level technical requirements that incumbents cannot meet without re-architecture.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5080"/>
      </w:tblGrid>
      <w:tr>
        <w:trPr>
          <w:tblHeader/>
        </w:trPr>
        <w:tc>
          <w:tcPr>
            <w:tcW w:type="dxa" w:w="3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Regulation</w:t>
            </w:r>
          </w:p>
        </w:tc>
        <w:tc>
          <w:tcPr>
            <w:tcW w:type="dxa" w:w="2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Enforcement</w:t>
            </w:r>
          </w:p>
        </w:tc>
        <w:tc>
          <w:tcPr>
            <w:tcW w:type="dxa" w:w="50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Machine-level technical requirement</w:t>
            </w:r>
          </w:p>
        </w:tc>
      </w:tr>
      <w:tr>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EU AI Act (Reg 2024/1689)</w:t>
            </w:r>
          </w:p>
        </w:tc>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In force Aug 2024; high-risk operational 2 Aug 2026; embedded products 2 Aug 2027</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Conformity assessment for high-risk AI; mandatory human oversight (Art. 14); event logging; risk management; data governance; transparency (Art. 13)</w:t>
            </w:r>
          </w:p>
        </w:tc>
      </w:tr>
      <w:tr>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EU GMP Annex 22 (Draft 2025)</w:t>
            </w:r>
          </w:p>
        </w:tc>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Expected enforcement 2027–2028</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AI validation; monitoring; documentation; risk management; PROHIBITION on generative/self-learning AI in core GMP decisions</w:t>
            </w:r>
          </w:p>
        </w:tc>
      </w:tr>
      <w:tr>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FDA CSA Final Guidance</w:t>
            </w:r>
          </w:p>
        </w:tc>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Effective 24 Sep 2025; QMSR update 3 Feb 2026</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Risk-based assurance for production/quality system software; replaces traditional CSV with critical-thinking model</w:t>
            </w:r>
          </w:p>
        </w:tc>
      </w:tr>
      <w:tr>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FDA Draft AI Drug Guidance</w:t>
            </w:r>
          </w:p>
        </w:tc>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6 Jan 2025 (draft; comments closed Apr 2025)</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Credibility assessment framework for AI in regulatory decisions across the drug lifecycle</w:t>
            </w:r>
          </w:p>
        </w:tc>
      </w:tr>
      <w:tr>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PIC/S Annex 22</w:t>
            </w:r>
          </w:p>
        </w:tc>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Harmonised with EMA 2025</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Same as EU Annex 22 internationally</w:t>
            </w:r>
          </w:p>
        </w:tc>
      </w:tr>
      <w:tr>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MHRA/FDA/Health Canada GMLP</w:t>
            </w:r>
          </w:p>
        </w:tc>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10 principles (2021); transparency update 13 Jun 2024</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Lifecycle ML governance principles</w:t>
            </w:r>
          </w:p>
        </w:tc>
      </w:tr>
    </w:tbl>
    <w:p>
      <w:pPr>
        <w:pStyle w:val="Heading2"/>
        <w:spacing w:before="240" w:after="140"/>
      </w:pPr>
      <w:r>
        <w:t xml:space="preserve">2.1 What this means for the buyer</w:t>
      </w:r>
    </w:p>
    <w:p>
      <w:pPr>
        <w:spacing w:after="140"/>
      </w:pPr>
      <w:r>
        <w:t xml:space="preserve">Pharma quality leaders are buying for a regulatory horizon that ends in 2027–2028. A 2024-era QMS with AI features bolted on is a future audit liability. Verixa is a 2026-architected QMS that solves the 2027–2028 problems by construction. That positioning is the buyer-facing version of the IP moat.</w:t>
      </w:r>
    </w:p>
    <w:p>
      <w:r>
        <w:br w:type="page"/>
      </w:r>
    </w:p>
    <w:p>
      <w:pPr>
        <w:pStyle w:val="Heading1"/>
        <w:spacing w:before="320" w:after="180"/>
      </w:pPr>
      <w:r>
        <w:t xml:space="preserve">3. The Verixa Architecture — What We Have Built</w:t>
      </w:r>
    </w:p>
    <w:p>
      <w:pPr>
        <w:spacing w:after="140"/>
      </w:pPr>
      <w:r>
        <w:t xml:space="preserve">Verixa's codebase comprises 68 modules across backend, frontend, and shared contracts, with 24 mandatory quality standards baked into the engineering process. The architecture composes five primitive enforcement layers into a single fail-closed pipeline: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000"/>
        <w:gridCol w:w="6480"/>
      </w:tblGrid>
      <w:tr>
        <w:trPr>
          <w:tblHeader/>
        </w:trPr>
        <w:tc>
          <w:tcPr>
            <w:tcW w:type="dxa" w:w="6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w:t>
            </w:r>
          </w:p>
        </w:tc>
        <w:tc>
          <w:tcPr>
            <w:tcW w:type="dxa" w:w="3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Layer</w:t>
            </w:r>
          </w:p>
        </w:tc>
        <w:tc>
          <w:tcPr>
            <w:tcW w:type="dxa" w:w="64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What it does</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1</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Tenant Data Abstraction Layer (TDAL)</w:t>
            </w:r>
          </w:p>
        </w:tc>
        <w:tc>
          <w:tcPr>
            <w:tcW w:type="dxa" w:w="64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Every database operation runs inside a per-request transaction with the tenant identifier set as a PostgreSQL session-local variable. UUID validation prevents schema-name injection. No raw queries permitted outside TDAL.</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2</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Row-Level Security (RLS)</w:t>
            </w:r>
          </w:p>
        </w:tc>
        <w:tc>
          <w:tcPr>
            <w:tcW w:type="dxa" w:w="64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Every table has RLS policies that reference the session variable as the tenant-equality predicate. Tenant isolation is enforced at the database engine layer — application bugs cannot leak across tenants.</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3</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Append-Only Audit Trail with Hash Chain</w:t>
            </w:r>
          </w:p>
        </w:tc>
        <w:tc>
          <w:tcPr>
            <w:tcW w:type="dxa" w:w="64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Every mutation generates an audit-trail row with multi-dimensional context (tenant, user, action, resource, before/after values, site, product, study, supplier, batch, actor role, correlation id). Hash-chained for tamper evidence.</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4</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Human-in-the-Loop (HITL) Gating</w:t>
            </w:r>
          </w:p>
        </w:tc>
        <w:tc>
          <w:tcPr>
            <w:tcW w:type="dxa" w:w="64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AI-touched mutations route through a confidence-band gate that maps to a role hierarchy and requires an electronic-signature ceremony for medium and low-confidence outputs.</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5</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AI Output Segregation</w:t>
            </w:r>
          </w:p>
        </w:tc>
        <w:tc>
          <w:tcPr>
            <w:tcW w:type="dxa" w:w="64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Storage-layer enforcement that prevents advisory AI output from being written into GxP-critical fields without an electronic-signature ceremony. UI labelling is paired with data-layer prohibition.</w:t>
            </w:r>
          </w:p>
        </w:tc>
      </w:tr>
    </w:tbl>
    <w:p>
      <w:pPr>
        <w:pStyle w:val="Heading2"/>
        <w:spacing w:before="240" w:after="140"/>
      </w:pPr>
      <w:r>
        <w:t xml:space="preserve">3.1 Why this composition matters</w:t>
      </w:r>
    </w:p>
    <w:p>
      <w:pPr>
        <w:spacing w:after="140"/>
      </w:pPr>
      <w:r>
        <w:t xml:space="preserve">Each layer exists separately in prior art. The composition — five layers, each adding a measurable technical contribution, producing a fail-closed pipeline that simultaneously enforces five regulatory regimes — is the patentable subject matter. It is also the product moat: re-architecting an existing QMS to match this composition would require rewriting the database access layer, the audit subsystem, the AI inference path, and the workflow engine in lockstep. Incumbents will choose to bolt on features instead, because the rewrite cost is prohibitive for a multi-thousand-customer platform.</w:t>
      </w:r>
    </w:p>
    <w:p>
      <w:r>
        <w:br w:type="page"/>
      </w:r>
    </w:p>
    <w:p>
      <w:pPr>
        <w:pStyle w:val="Heading1"/>
        <w:spacing w:before="320" w:after="180"/>
      </w:pPr>
      <w:r>
        <w:t xml:space="preserve">4. The Verixa IP Portfolio (at a Glance)</w:t>
      </w:r>
    </w:p>
    <w:p>
      <w:pPr>
        <w:spacing w:after="140"/>
      </w:pPr>
      <w:r>
        <w:t xml:space="preserve">Eight invention candidates, ranked by patentability strength. Each is anchored to actual code; each addresses a specific regulatory technical requirement; each has a defensible prior-art position.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000"/>
        <w:gridCol w:w="1400"/>
        <w:gridCol w:w="1400"/>
        <w:gridCol w:w="3680"/>
      </w:tblGrid>
      <w:tr>
        <w:trPr>
          <w:tblHeader/>
        </w:trPr>
        <w:tc>
          <w:tcPr>
            <w:tcW w:type="dxa" w:w="6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w:t>
            </w:r>
          </w:p>
        </w:tc>
        <w:tc>
          <w:tcPr>
            <w:tcW w:type="dxa" w:w="3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Invention</w:t>
            </w:r>
          </w:p>
        </w:tc>
        <w:tc>
          <w:tcPr>
            <w:tcW w:type="dxa" w:w="14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Filing tier</w:t>
            </w:r>
          </w:p>
        </w:tc>
        <w:tc>
          <w:tcPr>
            <w:tcW w:type="dxa" w:w="14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Status</w:t>
            </w:r>
          </w:p>
        </w:tc>
        <w:tc>
          <w:tcPr>
            <w:tcW w:type="dxa" w:w="36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Why it matters</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1</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Platform-Validated Model Lockstep</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1</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Provisional Day 0</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Annex 22 §5 + FDA CSA: only validated artefacts may run. Verixa enforces it at the data layer with a dual-precondition gate.</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2</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AI Output Segregation Engine</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1</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Provisional Day 0</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Part 11 §11.70 + Annex 22 §7: AI outputs cannot become system-of-record without e-sig. Verixa enforces at the storage layer.</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3</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Cryptographic LLM Audit Hash Chain</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1</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Provisional Day 0</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Part 11 §11.10(e): tamper-evident audit. Verixa adds per-tenant hash-chained LLM audit with prompt-version pinning.</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4</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HITL Confidence-Band Escalation + E-Sig</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2</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Day 30 provisional</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EU AI Act Art. 14 + Part 11 §11.50/70: human oversight with cryptographic linkage. Verixa makes routing dynamic and confidence-driven.</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5</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Pre-Execution Context Gate Profiles</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2</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Day 30 provisional</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Part 11 §11.10(d) + Annex 11 §12: multi-dimensional access scope. Verixa formalises per-role visibility-and-default profiles with deterministic precedence.</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6</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Dual-Stack Compliance Architecture</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2</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Day 30 provisional</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Headline composition claim. Solves the multi-regulation enforcement problem at the architecture level.</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7</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Mira Copilot (narrow)</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3</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Day 60 provisional; US post-FTO</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FDA Jan 2025 AI Draft: traceable, citation-supported AI. Verixa's narrow claims target the regulatory-corpus-only + GxP-write prohibition composition.</w:t>
            </w:r>
          </w:p>
        </w:tc>
      </w:tr>
      <w:tr>
        <w:tc>
          <w:tcPr>
            <w:tcW w:type="dxa" w:w="6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8</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Pre-Inspection Readiness Automation</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3</w:t>
            </w:r>
          </w:p>
        </w:tc>
        <w:tc>
          <w:tcPr>
            <w:tcW w:type="dxa" w:w="14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Day 60 provisional</w:t>
            </w:r>
          </w:p>
        </w:tc>
        <w:tc>
          <w:tcPr>
            <w:tcW w:type="dxa" w:w="36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White-space play. Automated inspector-query simulation against live system state.</w:t>
            </w:r>
          </w:p>
        </w:tc>
      </w:tr>
    </w:tbl>
    <w:p>
      <w:pPr>
        <w:pStyle w:val="Heading2"/>
        <w:spacing w:before="240" w:after="140"/>
      </w:pPr>
      <w:r>
        <w:t xml:space="preserve">4.1 Provisional-first, India-first sequencing</w:t>
      </w:r>
    </w:p>
    <w:p>
      <w:pPr>
        <w:spacing w:after="140"/>
      </w:pPr>
      <w:r>
        <w:t xml:space="preserve">All Tier 1 inventions are filed first as Indian provisional specifications under Indian Patents Act §9, with parallel Foreign Filing License requests (Form 25, decided within 21 days by the Controller of Patents) to enable US filing. US provisionals follow under 35 USC §111(b). Twelve-month conversion windows in both jurisdictions provide the time to mature claims, conduct freedom-to-operate searches, and pursue strategic options (direct Paris Convention filings vs PCT international application).</w:t>
      </w:r>
    </w:p>
    <w:p>
      <w:r>
        <w:br w:type="page"/>
      </w:r>
    </w:p>
    <w:p>
      <w:pPr>
        <w:pStyle w:val="Heading1"/>
        <w:spacing w:before="320" w:after="180"/>
      </w:pPr>
      <w:r>
        <w:t xml:space="preserve">5. Trade-Secret vs Patent Allocation</w:t>
      </w:r>
    </w:p>
    <w:p>
      <w:pPr>
        <w:spacing w:after="140"/>
      </w:pPr>
      <w:r>
        <w:t xml:space="preserve">Patents publish at 18 months. Trade secrets are perpetual but only protected with reasonable measures. Verixa's IP allocation follows a single principle: patent what is reverse-engineerable from product behaviour or technical due diligence; trade-secret what is internal, empirical, and replaceable.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80"/>
        <w:gridCol w:w="1800"/>
        <w:gridCol w:w="4200"/>
      </w:tblGrid>
      <w:tr>
        <w:trPr>
          <w:tblHeader/>
        </w:trPr>
        <w:tc>
          <w:tcPr>
            <w:tcW w:type="dxa" w:w="40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Asset class</w:t>
            </w:r>
          </w:p>
        </w:tc>
        <w:tc>
          <w:tcPr>
            <w:tcW w:type="dxa" w:w="18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Disposition</w:t>
            </w:r>
          </w:p>
        </w:tc>
        <w:tc>
          <w:tcPr>
            <w:tcW w:type="dxa" w:w="42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Why</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8 architectural inventions (#1–#8)</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PATENT</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Externally observable; reverse-engineerable from API, UI, or audit export</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Mira prompt templates + citation-corpus composition</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Empirically tuned; high commercial value; rotated periodically</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Confidence-band threshold curves per AI feature</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Empirically derived per feature; protected operationally</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Drift-detection heuristics and thresholds</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Internal mechanics not exposed to users</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Training data sources for any fine-tuned models</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 + data-licensing protection</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Agentic multi-panel orchestration internals</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Crowded academic prior art; internal mechanics not exposed</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Document Quality Gateway scoring weights</w:t>
            </w:r>
          </w:p>
        </w:tc>
        <w:tc>
          <w:tcPr>
            <w:tcW w:type="dxa" w:w="18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TRADE SECRET (pending FTO)</w:t>
            </w:r>
          </w:p>
        </w:tc>
        <w:tc>
          <w:tcPr>
            <w:tcW w:type="dxa" w:w="42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Risk of collision with US 12,353,469; held back until FTO complete</w:t>
            </w:r>
          </w:p>
        </w:tc>
      </w:tr>
    </w:tbl>
    <w:p>
      <w:pPr>
        <w:pStyle w:val="Heading2"/>
        <w:spacing w:before="240" w:after="140"/>
      </w:pPr>
      <w:r>
        <w:t xml:space="preserve">5.1 Trade-secret hygiene in place</w:t>
      </w:r>
    </w:p>
    <w:p>
      <w:pPr>
        <w:pStyle w:val="ListParagraph"/>
        <w:numPr>
          <w:ilvl w:val="0"/>
          <w:numId w:val="2"/>
        </w:numPr>
        <w:spacing w:after="80"/>
      </w:pPr>
      <w:r>
        <w:t xml:space="preserve">Private code repositories with documented access control (GitHub audit log retained 5+ years)</w:t>
      </w:r>
    </w:p>
    <w:p>
      <w:pPr>
        <w:pStyle w:val="ListParagraph"/>
        <w:numPr>
          <w:ilvl w:val="0"/>
          <w:numId w:val="2"/>
        </w:numPr>
        <w:spacing w:after="80"/>
      </w:pPr>
      <w:r>
        <w:t xml:space="preserve">Engineer NDAs at hire including IP assignment + post-employment confidentiality + non-solicitation</w:t>
      </w:r>
    </w:p>
    <w:p>
      <w:pPr>
        <w:pStyle w:val="ListParagraph"/>
        <w:numPr>
          <w:ilvl w:val="0"/>
          <w:numId w:val="2"/>
        </w:numPr>
        <w:spacing w:after="80"/>
      </w:pPr>
      <w:r>
        <w:t xml:space="preserve">Contractor MSAs with IP assignment + work-for-hire framing</w:t>
      </w:r>
    </w:p>
    <w:p>
      <w:pPr>
        <w:pStyle w:val="ListParagraph"/>
        <w:numPr>
          <w:ilvl w:val="0"/>
          <w:numId w:val="2"/>
        </w:numPr>
        <w:spacing w:after="80"/>
      </w:pPr>
      <w:r>
        <w:t xml:space="preserve">Internal documents marked "Verixa Confidential — Trade Secret"</w:t>
      </w:r>
    </w:p>
    <w:p>
      <w:pPr>
        <w:pStyle w:val="ListParagraph"/>
        <w:numPr>
          <w:ilvl w:val="0"/>
          <w:numId w:val="2"/>
        </w:numPr>
        <w:spacing w:after="80"/>
      </w:pPr>
      <w:r>
        <w:t xml:space="preserve">LLM provider, cloud, and observability vendors bound by data-processing agreements that prohibit derivative training</w:t>
      </w:r>
    </w:p>
    <w:p>
      <w:r>
        <w:br w:type="page"/>
      </w:r>
    </w:p>
    <w:p>
      <w:pPr>
        <w:pStyle w:val="Heading1"/>
        <w:spacing w:before="320" w:after="180"/>
      </w:pPr>
      <w:r>
        <w:t xml:space="preserve">6. Competitive Moat Analysis</w:t>
      </w:r>
    </w:p>
    <w:p>
      <w:pPr>
        <w:spacing w:after="140"/>
      </w:pPr>
      <w:r>
        <w:t xml:space="preserve">The pharma eQMS market has four dominant incumbents and a long tail of adjacencies. Verixa's moat is positional: incumbents would have to re-architect to match Verixa's Annex 22-native composition; Verixa would not have to re-architect to add incumbents' workflow depth (and indeed is filling that depth aggressively).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5080"/>
      </w:tblGrid>
      <w:tr>
        <w:trPr>
          <w:tblHeader/>
        </w:trPr>
        <w:tc>
          <w:tcPr>
            <w:tcW w:type="dxa" w:w="2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Incumbent</w:t>
            </w:r>
          </w:p>
        </w:tc>
        <w:tc>
          <w:tcPr>
            <w:tcW w:type="dxa" w:w="3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Strength</w:t>
            </w:r>
          </w:p>
        </w:tc>
        <w:tc>
          <w:tcPr>
            <w:tcW w:type="dxa" w:w="50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Architectural gap Verixa exploits</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Veeva Vault QMS + Veeva AI</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Market dominance; clinical / regulatory adjacencies; Vault ecosystem</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AI bolted onto Vault; no platform-administered validated-model lockstep; no architectural AI Output Segregation</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MasterControl Quality + Spark AI</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Manufacturing depth; long install base</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Legacy architecture; AI added as feature, not foundation; no Annex 22-native design</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Honeywell Sparta TrackWise Digital</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Workflow depth; Salesforce-native deployment</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Inherits Salesforce platform constraints; AI agents bolted on; multi-tenancy via Salesforce primitives (well-patented by Salesforce — different technical implementation from Verixa's PostgreSQL-RLS approach)</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Hexagon (Octave Reliance / ETQ)</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"Reliance AI" agentic initiative announced 2026</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Same bolt-on pattern; no public posture on hash-chained AI audit or AI Output Segregation</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IDBS Polar / E-WorkBook</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Research-side strength</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Different segment focus; QMS depth not primary</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ComplianceQuest / Dot Compliance (Salesforce-native)</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Quick deployment for Salesforce shops</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Inherits Salesforce platform IP; no native Annex 22 architecture</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Cority, Arena Solutions (PTC), TraceLink</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Adjacent EHS/PLM/supply chain</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Not in Verixa's primary lane</w:t>
            </w:r>
          </w:p>
        </w:tc>
      </w:tr>
    </w:tbl>
    <w:p>
      <w:pPr>
        <w:pStyle w:val="Heading2"/>
        <w:spacing w:before="240" w:after="140"/>
      </w:pPr>
      <w:r>
        <w:t xml:space="preserve">6.1 White spaces Verixa occupies first</w:t>
      </w:r>
    </w:p>
    <w:p>
      <w:pPr>
        <w:pStyle w:val="ListParagraph"/>
        <w:numPr>
          <w:ilvl w:val="0"/>
          <w:numId w:val="3"/>
        </w:numPr>
        <w:spacing w:after="80"/>
      </w:pPr>
      <w:r>
        <w:t xml:space="preserve">Architecturally composed multi-regulation enforcement (TDAL + RLS + audit + HITL + AI segregation as one pipeline) — no incumbent has this as a single composition.</w:t>
      </w:r>
    </w:p>
    <w:p>
      <w:pPr>
        <w:pStyle w:val="ListParagraph"/>
        <w:numPr>
          <w:ilvl w:val="0"/>
          <w:numId w:val="3"/>
        </w:numPr>
        <w:spacing w:after="80"/>
      </w:pPr>
      <w:r>
        <w:t xml:space="preserve">AI Output Segregation enforced at the storage layer (not UI labelling).</w:t>
      </w:r>
    </w:p>
    <w:p>
      <w:pPr>
        <w:pStyle w:val="ListParagraph"/>
        <w:numPr>
          <w:ilvl w:val="0"/>
          <w:numId w:val="3"/>
        </w:numPr>
        <w:spacing w:after="80"/>
      </w:pPr>
      <w:r>
        <w:t xml:space="preserve">Cryptographic hash-chained LLM audit log with prompt-version pinning — observability stacks do not chain; eQMS audit logs do not bind LLM-specific metadata.</w:t>
      </w:r>
    </w:p>
    <w:p>
      <w:pPr>
        <w:pStyle w:val="ListParagraph"/>
        <w:numPr>
          <w:ilvl w:val="0"/>
          <w:numId w:val="3"/>
        </w:numPr>
        <w:spacing w:after="80"/>
      </w:pPr>
      <w:r>
        <w:t xml:space="preserve">HITL confidence-band escalation tied to a regulated-industry role hierarchy with e-signature ceremony — academic prior art exists; no dominant patent.</w:t>
      </w:r>
    </w:p>
    <w:p>
      <w:pPr>
        <w:pStyle w:val="ListParagraph"/>
        <w:numPr>
          <w:ilvl w:val="0"/>
          <w:numId w:val="3"/>
        </w:numPr>
        <w:spacing w:after="80"/>
      </w:pPr>
      <w:r>
        <w:t xml:space="preserve">Pre-inspection readiness automation — virtually no patent literature found.</w:t>
      </w:r>
    </w:p>
    <w:p>
      <w:r>
        <w:br w:type="page"/>
      </w:r>
    </w:p>
    <w:p>
      <w:pPr>
        <w:pStyle w:val="Heading1"/>
        <w:spacing w:before="320" w:after="180"/>
      </w:pPr>
      <w:r>
        <w:t xml:space="preserve">7. Defensibility Analysis</w:t>
      </w:r>
    </w:p>
    <w:p>
      <w:pPr>
        <w:pStyle w:val="Heading2"/>
        <w:spacing w:before="240" w:after="140"/>
      </w:pPr>
      <w:r>
        <w:t xml:space="preserve">7.1 Patentability strength (US §101 + India §3(k))</w:t>
      </w:r>
    </w:p>
    <w:p>
      <w:pPr>
        <w:spacing w:after="140"/>
      </w:pPr>
      <w:r>
        <w:t xml:space="preserve">Each Verixa invention is framed as a technical solution to a regulatory machine-level problem. This framing is exactly what the USPTO 2024 AI Subject Matter Eligibility Guidance Update (effective 17 July 2024) describes as a "practical application" that survives Alice/Mayo. Example 49 of the USPTO guidance update — AI for personalised medical treatment — is the most directly analogous prior guidance for Verixa's claim style. For India, the 2025 CRI Guidelines (final July 2025) implement the Ferid Allani technical-effect test with structured §3(k) flowcharts that materially reduce examiner discretion.</w:t>
      </w:r>
    </w:p>
    <w:p>
      <w:pPr>
        <w:spacing w:after="140"/>
      </w:pPr>
      <w:r>
        <w:t xml:space="preserve">The Recentive Analytics v. Fox CAFC ruling (18 April 2025) reinforces the contrast: generic application of ML to a new domain is abstract. Verixa does not generically apply AI — it solves enumerated technical problems (validated-model lockstep; storage-layer segregation; tamper-evident hash chain; confidence-thresholded role escalation) at specific machine layers.</w:t>
      </w:r>
    </w:p>
    <w:p>
      <w:pPr>
        <w:pStyle w:val="Heading2"/>
        <w:spacing w:before="240" w:after="140"/>
      </w:pPr>
      <w:r>
        <w:t xml:space="preserve">7.2 Composition-claim resilience</w:t>
      </w:r>
    </w:p>
    <w:p>
      <w:pPr>
        <w:spacing w:after="140"/>
      </w:pPr>
      <w:r>
        <w:t xml:space="preserve">Verixa's headline composition claim (Invention #6: TDAL + RLS + Audit + HITL + AI Segregation) is the most defensible asset in the portfolio. Composition claims that improve computer functioning receive the strongest §101 treatment per the USPTO Aug 2025 §101 examiner memo. An infringer would have to reproduce all five layers in the same fail-closed semantics; partial implementations would not infringe but would also not solve the integrated multi-regulation problem.</w:t>
      </w:r>
    </w:p>
    <w:p>
      <w:pPr>
        <w:pStyle w:val="Heading2"/>
        <w:spacing w:before="240" w:after="140"/>
      </w:pPr>
      <w:r>
        <w:t xml:space="preserve">7.3 Reverse-engineering posture</w:t>
      </w:r>
    </w:p>
    <w:p>
      <w:pPr>
        <w:spacing w:after="140"/>
      </w:pPr>
      <w:r>
        <w:t xml:space="preserve">Patent disclosure is the trade. In exchange for the 20-year right to exclude, the inventor publishes the invention. Verixa's patented inventions are inherently observable (API behaviour, UI workflow, audit export format, technical due diligence) — patenting them does not destroy any commercial advantage, because the trade secret was never the mechanism; the trade secret is the empirical tuning (prompt templates, threshold curves, drift heuristics). Verixa's trade-secret allocation (Section 5) preserves what is empirical and unobservable.</w:t>
      </w:r>
    </w:p>
    <w:p>
      <w:pPr>
        <w:pStyle w:val="Heading2"/>
        <w:spacing w:before="240" w:after="140"/>
      </w:pPr>
      <w:r>
        <w:t xml:space="preserve">7.4 Freedom-to-operate posture</w:t>
      </w:r>
    </w:p>
    <w:p>
      <w:pPr>
        <w:spacing w:after="140"/>
      </w:pPr>
      <w:r>
        <w:t xml:space="preserve">A paid freedom-to-operate (FTO) opinion will be commissioned (Clarivate or Patsnap, USD 8,000–15,000 per invention) on inventions #1, #2, and #4 before any US non-provisional drafting. The principal known prior-art concerns are US 11,494,703 (ML model registry — narrow design-around via dual-precondition composition), US 2014/0068732 A1 (single-tenant audit in multi-tenant — different architectural implementation), and US 12,353,469 B1 (LLM citation grounding — narrow design-around for Mira via regulatory-corpus-only + GxP-write prohibition). Verixa's claims sit at the orchestration and governance layer, ABOVE the LLM provider layer, which avoids collision with Anthropic, OpenAI, Microsoft, and Google patents focused on model training and safety mechanisms.</w:t>
      </w:r>
    </w:p>
    <w:p>
      <w:r>
        <w:br w:type="page"/>
      </w:r>
    </w:p>
    <w:p>
      <w:pPr>
        <w:pStyle w:val="Heading1"/>
        <w:spacing w:before="320" w:after="180"/>
      </w:pPr>
      <w:r>
        <w:t xml:space="preserve">8. IP Roadmap Aligned to Product Roadmap</w:t>
      </w:r>
    </w:p>
    <w:p>
      <w:pPr>
        <w:spacing w:after="140"/>
      </w:pPr>
      <w:r>
        <w:t xml:space="preserve">Verixa's product roadmap and IP roadmap are coordinated so that every major product milestone has an associated IP anchor.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5080"/>
      </w:tblGrid>
      <w:tr>
        <w:trPr>
          <w:tblHeader/>
        </w:trPr>
        <w:tc>
          <w:tcPr>
            <w:tcW w:type="dxa" w:w="2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Quarter</w:t>
            </w:r>
          </w:p>
        </w:tc>
        <w:tc>
          <w:tcPr>
            <w:tcW w:type="dxa" w:w="3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Product milestone</w:t>
            </w:r>
          </w:p>
        </w:tc>
        <w:tc>
          <w:tcPr>
            <w:tcW w:type="dxa" w:w="50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IP milestone</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Q2 2026</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Design-partner kickoff (3 design partners under NDA)</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1 Indian provisionals filed; Form 25 FFL filed in parallel; NDA template locked</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Q3 2026</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2 Annex 22 architectural features GA</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2 Indian provisionals filed; US provisionals filed for Tier 1 (FFL or Day 42)</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Q4 2026</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EU AI Act high-risk operational date (2 Aug 2026); Verixa first paid design-partner conversion</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FTO opinions complete on #1, #2, #4; Tier 3 Indian provisionals filed</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Q1 2027</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Series A first close</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US provisionals for Tier 2; non-provisional drafting kickoff for Tier 1</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Q2 2027</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GMP / GCP module GA; first international customer onboarded</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1 Indian completes filed (12-month deadline); PCT decision</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2028</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EU Annex 22 enforcement begins</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Tier 1 US non-provisionals filed; first publications appear; Tier 2 completes / PCTs</w:t>
            </w:r>
          </w:p>
        </w:tc>
      </w:tr>
      <w:tr>
        <w:tc>
          <w:tcPr>
            <w:tcW w:type="dxa" w:w="2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2029–2031</w:t>
            </w:r>
          </w:p>
        </w:tc>
        <w:tc>
          <w:tcPr>
            <w:tcW w:type="dxa" w:w="3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Scale phase; multi-jurisdiction GA</w:t>
            </w:r>
          </w:p>
        </w:tc>
        <w:tc>
          <w:tcPr>
            <w:tcW w:type="dxa" w:w="5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First grants expected (India 4–7 years; US 3–5 years); EU/UK/JP expansion decisions per national-phase deadlines</w:t>
            </w:r>
          </w:p>
        </w:tc>
      </w:tr>
    </w:tbl>
    <w:p>
      <w:pPr>
        <w:pStyle w:val="Heading2"/>
        <w:spacing w:before="240" w:after="140"/>
      </w:pPr>
      <w:r>
        <w:t xml:space="preserve">8.1 IP-budget commitment</w:t>
      </w:r>
    </w:p>
    <w:p>
      <w:pPr>
        <w:spacing w:after="140"/>
      </w:pPr>
      <w:r>
        <w:t xml:space="preserve">USD 250,000–400,000 over 5 years, staged against business milestones: Year-1 capital (USD 40,000–80,000) is unconditional and committed; Year-2 tranches release on first paid design-partner LOI and Series A first close respectively; Year-3+ capital ties to annual revenue thresholds. Weak applications are abandoned at office-action stages rather than maintained indefinitely.</w:t>
      </w:r>
    </w:p>
    <w:p>
      <w:r>
        <w:br w:type="page"/>
      </w:r>
    </w:p>
    <w:p>
      <w:pPr>
        <w:pStyle w:val="Heading1"/>
        <w:spacing w:before="320" w:after="180"/>
      </w:pPr>
      <w:r>
        <w:t xml:space="preserve">9. Due-Diligence Comfort Items</w:t>
      </w:r>
    </w:p>
    <w:p>
      <w:pPr>
        <w:spacing w:after="140"/>
      </w:pPr>
      <w:r>
        <w:t xml:space="preserve">Standard due-diligence questions and Verixa's standing answers.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80"/>
        <w:gridCol w:w="6000"/>
      </w:tblGrid>
      <w:tr>
        <w:trPr>
          <w:tblHeader/>
        </w:trPr>
        <w:tc>
          <w:tcPr>
            <w:tcW w:type="dxa" w:w="408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Diligence question</w:t>
            </w:r>
          </w:p>
        </w:tc>
        <w:tc>
          <w:tcPr>
            <w:tcW w:type="dxa" w:w="6000"/>
            <w:tcBorders>
              <w:top w:val="single" w:color="B0B0B0" w:sz="6"/>
              <w:left w:val="single" w:color="B0B0B0" w:sz="6"/>
              <w:bottom w:val="single" w:color="B0B0B0" w:sz="6"/>
              <w:right w:val="single" w:color="B0B0B0" w:sz="6"/>
            </w:tcBorders>
            <w:shd w:fill="0F3D5C" w:val="clear"/>
            <w:tcMar>
              <w:top w:type="dxa" w:w="80"/>
              <w:left w:type="dxa" w:w="120"/>
              <w:bottom w:type="dxa" w:w="80"/>
              <w:right w:type="dxa" w:w="120"/>
            </w:tcMar>
          </w:tcPr>
          <w:p>
            <w:r>
              <w:rPr>
                <w:b/>
                <w:bCs/>
                <w:color w:val="FFFFFF"/>
              </w:rPr>
              <w:t xml:space="preserve">Verixa response</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Has Verixa cleared an IP-ownership chain across all engineers and contractors?</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Engineer offer letters include IP assignment + post-employment confidentiality + non-solicitation; contractor MSAs include IP assignment + work-for-hire. Specific assignment audit available on request.</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Are any third-party open-source components encumbered with copyleft (AGPL, GPLv3) terms that could affect IP cleanliness?</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OSS license inventory available. Verixa applies a permissive-license-only policy for new dependencies (MIT, Apache-2.0, BSD); copyleft components subject to exception review. Specific list available under NDA.</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Has Verixa received any third-party patent demand letters?</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NO TO DATE. Verixa monitors USPTO and Google Patents for new filings by Veeva, MasterControl, Honeywell, Hexagon (Octave Reliance/ETQ), IDBS, ComplianceQuest, Dot Compliance.</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Are LLM provider IP terms compatible with Verixa's patent strategy?</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Verixa's claims sit ABOVE the model layer at the orchestration/governance layer, which avoids collision with Anthropic, OpenAI, Microsoft, and Google patents. Provider DPAs prohibit derivative model training on Verixa's tenant data. Specific contract excerpts available under NDA.</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How does Verixa handle inventor disputes if a key engineer departs?</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Contemporaneous inventorship logs maintained per invention from Day 0, per USPTO November 2025 revised guidance. Only humans named as inventors. IP assignment is post-employment-binding.</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What is the freedom-to-operate posture?</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Paid FTO commissioned on Tier 1 inventions (Clarivate / Patsnap) before US non-provisional drafting. Known prior-art concerns disclosed in Section 7.4 above. No-FTO-no-filing policy for inventions with material prior-art risk.</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What is the trade-secret protection posture?</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See Section 5.1. Private repos, engineer/contractor NDAs, internal "Trade Secret" classification, vendor DPAs prohibiting derivative training. Specific control register available under NDA.</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How does Verixa avoid §39 (India FFL) violations for India-resident inventors?</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India-first filing rule + parallel Form 25 FFL request for all inventions. Indian provisional on Day 0; US filing only on FFL grant (Day 21) or after 6-week §39(1)(a) clock (Day 42). Documented in counsel engagement letter and inventorship register.</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What happens to the IP if Aeonn Ark restructures or sells the Verixa vertical?</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IP is held at the applicant entity (currently within the Aeonn Health → NaviraQA → Verixa structure under Aeonn Ark Pvt Ltd). Standard vertical-carveout / asset-transfer provisions would convey the IP cleanly. Cap table and entity structure available under NDA.</w:t>
            </w:r>
          </w:p>
        </w:tc>
      </w:tr>
      <w:tr>
        <w:tc>
          <w:tcPr>
            <w:tcW w:type="dxa" w:w="408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Can Verixa's patents be used offensively?</w:t>
            </w:r>
          </w:p>
        </w:tc>
        <w:tc>
          <w:tcPr>
            <w:tcW w:type="dxa" w:w="6000"/>
            <w:tcBorders>
              <w:top w:val="single" w:color="B0B0B0" w:sz="6"/>
              <w:left w:val="single" w:color="B0B0B0" w:sz="6"/>
              <w:bottom w:val="single" w:color="B0B0B0" w:sz="6"/>
              <w:right w:val="single" w:color="B0B0B0" w:sz="6"/>
            </w:tcBorders>
            <w:tcMar>
              <w:top w:type="dxa" w:w="80"/>
              <w:left w:type="dxa" w:w="120"/>
              <w:bottom w:type="dxa" w:w="80"/>
              <w:right w:type="dxa" w:w="120"/>
            </w:tcMar>
          </w:tcPr>
          <w:p>
            <w:r>
              <w:t xml:space="preserve">Yes — design partners and customers are not the target. Defensive primary purpose: protect Verixa's architectural lead and create a deterrent against direct imitation by incumbents. Cross-licensing or licensing-to-customers is an option for later phases.</w:t>
            </w:r>
          </w:p>
        </w:tc>
      </w:tr>
    </w:tbl>
    <w:p>
      <w:r>
        <w:br w:type="page"/>
      </w:r>
    </w:p>
    <w:p>
      <w:pPr>
        <w:pStyle w:val="Heading1"/>
        <w:spacing w:before="320" w:after="180"/>
      </w:pPr>
      <w:r>
        <w:t xml:space="preserve">10. Investment-Grade Summary</w:t>
      </w:r>
    </w:p>
    <w:p>
      <w:pPr>
        <w:pStyle w:val="Heading2"/>
        <w:spacing w:before="240" w:after="140"/>
      </w:pPr>
      <w:r>
        <w:t xml:space="preserve">10.1 What the IP buys Verixa</w:t>
      </w:r>
    </w:p>
    <w:p>
      <w:pPr>
        <w:pStyle w:val="ListParagraph"/>
        <w:numPr>
          <w:ilvl w:val="0"/>
          <w:numId w:val="3"/>
        </w:numPr>
        <w:spacing w:after="80"/>
      </w:pPr>
      <w:r>
        <w:t xml:space="preserve">A 20-year right to exclude others from the eight patented architectural inventions in the US and India (subject to grant).</w:t>
      </w:r>
    </w:p>
    <w:p>
      <w:pPr>
        <w:pStyle w:val="ListParagraph"/>
        <w:numPr>
          <w:ilvl w:val="0"/>
          <w:numId w:val="3"/>
        </w:numPr>
        <w:spacing w:after="80"/>
      </w:pPr>
      <w:r>
        <w:t xml:space="preserve">A defensive moat against direct imitation by incumbents during the 2026–2030 architectural transition.</w:t>
      </w:r>
    </w:p>
    <w:p>
      <w:pPr>
        <w:pStyle w:val="ListParagraph"/>
        <w:numPr>
          <w:ilvl w:val="0"/>
          <w:numId w:val="3"/>
        </w:numPr>
        <w:spacing w:after="80"/>
      </w:pPr>
      <w:r>
        <w:t xml:space="preserve">A negotiation lever in design-partner contracts (IP-protected architecture commands 1.2–1.5x deal size vs unprotected per industry benchmarks).</w:t>
      </w:r>
    </w:p>
    <w:p>
      <w:pPr>
        <w:pStyle w:val="ListParagraph"/>
        <w:numPr>
          <w:ilvl w:val="0"/>
          <w:numId w:val="3"/>
        </w:numPr>
        <w:spacing w:after="80"/>
      </w:pPr>
      <w:r>
        <w:t xml:space="preserve">A valuation lever at Series A and beyond (SaaS-with-proprietary-IP-moat in regulated vertical typically receives 1.5–3x revenue multiple uplift vs commodity SaaS).</w:t>
      </w:r>
    </w:p>
    <w:p>
      <w:pPr>
        <w:pStyle w:val="ListParagraph"/>
        <w:numPr>
          <w:ilvl w:val="0"/>
          <w:numId w:val="3"/>
        </w:numPr>
        <w:spacing w:after="80"/>
      </w:pPr>
      <w:r>
        <w:t xml:space="preserve">Optionality for cross-licensing, exclusivity grants, or selective enforcement in later phases.</w:t>
      </w:r>
    </w:p>
    <w:p>
      <w:pPr>
        <w:pStyle w:val="Heading2"/>
        <w:spacing w:before="240" w:after="140"/>
      </w:pPr>
      <w:r>
        <w:t xml:space="preserve">10.2 What the IP does not buy</w:t>
      </w:r>
    </w:p>
    <w:p>
      <w:pPr>
        <w:spacing w:after="140"/>
      </w:pPr>
      <w:r>
        <w:t xml:space="preserve">Patents do not replace product execution. The IP is necessary but not sufficient. Verixa wins on: (a) architectural lead translated into shipping product depth; (b) design-partner co-development that secures the first reference customers; (c) GTM motion that matches the regulatory urgency. The IP fortifies all three.</w:t>
      </w:r>
    </w:p>
    <w:p>
      <w:pPr>
        <w:pStyle w:val="Heading2"/>
        <w:spacing w:before="240" w:after="140"/>
      </w:pPr>
      <w:r>
        <w:t xml:space="preserve">10.3 The honest disclosure</w:t>
      </w:r>
    </w:p>
    <w:p>
      <w:pPr>
        <w:spacing w:after="140"/>
      </w:pPr>
      <w:r>
        <w:t xml:space="preserve">No filings are yet on record as of this document's issuance date (24 May 2026). The patent strategy is moving from approval to execution under doctrine sign-off concurrent with this disclosure. By the time most investors and design partners will conduct deeper diligence, Tier 1 provisionals will be filed and verifiable via the Indian Patent Office search portal. Verixa is happy to walk through the doctrine-approved strategy, the counsel engagement plan, and the filing-status verification path with any party under NDA.</w:t>
      </w:r>
    </w:p>
    <w:p>
      <w:r>
        <w:br w:type="page"/>
      </w:r>
    </w:p>
    <w:p>
      <w:pPr>
        <w:pStyle w:val="Heading1"/>
        <w:spacing w:before="320" w:after="180"/>
      </w:pPr>
      <w:r>
        <w:t xml:space="preserve">11. About This Document</w:t>
      </w:r>
    </w:p>
    <w:p>
      <w:pPr>
        <w:spacing w:after="140"/>
      </w:pPr>
      <w:r>
        <w:t xml:space="preserve">This IP Narrative is prepared by Verixa as a candid technical-commercial document for investor and design-partner due diligence. It is bound by the executed Mutual Non-Disclosure Agreement with the recipient organisation. It is not legal advice. The patent strategy described herein has been reviewed under the Aeonn Doctrine V3 Tier 2 process; the deliverables to qualified patent counsel (one Indian patent agent + one US patent attorney) are documented in a separate Patent Counsel Handoff Brief.</w:t>
      </w:r>
    </w:p>
    <w:p>
      <w:pPr>
        <w:pStyle w:val="Heading2"/>
        <w:spacing w:before="240" w:after="140"/>
      </w:pPr>
      <w:r>
        <w:t xml:space="preserve">11.1 Disclosure register</w:t>
      </w:r>
    </w:p>
    <w:p>
      <w:pPr>
        <w:spacing w:after="140"/>
      </w:pPr>
      <w:r>
        <w:t xml:space="preserve">Verixa maintains an internal disclosure register tracking, per invention, what has been said externally and to whom. Investors and design partners who receive this document are added to the register. Subsequent discussions are logged.</w:t>
      </w:r>
    </w:p>
    <w:p>
      <w:pPr>
        <w:pStyle w:val="Heading2"/>
        <w:spacing w:before="240" w:after="140"/>
      </w:pPr>
      <w:r>
        <w:t xml:space="preserve">11.2 Verification path</w:t>
      </w:r>
    </w:p>
    <w:p>
      <w:pPr>
        <w:spacing w:after="140"/>
      </w:pPr>
      <w:r>
        <w:t xml:space="preserve">Investors and design partners conducting deeper diligence may verify filing status (after Indian provisional filings) via the Indian Patent Office search portal at search.ipindia.gov.in (provisional records appear within days of filing) and the USPTO Public PAIR portal (after US filings; published applications appear at 18 months). Verixa will provide application numbers and filing receipts to NDA-protected parties on request.</w:t>
      </w:r>
    </w:p>
    <w:p>
      <w:pPr>
        <w:pStyle w:val="Heading2"/>
        <w:spacing w:before="240" w:after="140"/>
      </w:pPr>
      <w:r>
        <w:t xml:space="preserve">11.3 Document authorship</w:t>
      </w:r>
    </w:p>
    <w:p>
      <w:pPr>
        <w:spacing w:after="140"/>
      </w:pPr>
      <w:r>
        <w:t xml:space="preserve">Prepared by: Aeonn Doctrine — IP Specialist (Phase 2), cross-functionally reviewed by Engineering, Pharma R&amp;D, Product Development, Finance, Sales, Research, and IT Security (Phase 3), consolidated by Legal Compliance Lead (Phase 4), validated by CLO + CTO + CHO + CFO + CRO (Phase 5A), and signed off by Vertical CEO (Phase 5B). Founder sign-off (Tier 3 gate) pending on the parent Founder Decision Memo.</w:t>
      </w:r>
    </w:p>
    <w:p>
      <w:pPr>
        <w:pStyle w:val="Heading2"/>
        <w:spacing w:before="240" w:after="140"/>
      </w:pPr>
      <w:r>
        <w:t xml:space="preserve">11.4 Status</w:t>
      </w:r>
    </w:p>
    <w:p>
      <w:pPr>
        <w:spacing w:after="140"/>
      </w:pPr>
      <w:r>
        <w:t xml:space="preserve">Draft v1.0 — pending founder sign-off and legal counsel engagement.</w:t>
      </w:r>
    </w:p>
    <w:p>
      <w:pPr>
        <w:spacing w:after="140"/>
      </w:pPr>
      <w:r>
        <w:t xml:space="preserve">Next revision (v1.1): post-Tier-1 filing, this document will be updated to reflect actual application numbers, filing receipts, and any redaction relaxations.</w:t>
      </w:r>
    </w:p>
    <w:p>
      <w:pPr>
        <w:spacing w:after="140"/>
      </w:pPr>
      <w:r/>
    </w:p>
    <w:p>
      <w:pPr>
        <w:spacing w:after="140"/>
        <w:rPr>
          <w:b/>
          <w:bCs/>
          <w:i/>
          <w:iCs/>
        </w:rPr>
      </w:pPr>
      <w:r>
        <w:rPr>
          <w:b/>
          <w:bCs/>
          <w:i/>
          <w:iCs/>
        </w:rPr>
        <w:t xml:space="preserve">END OF IP NARRATIVE.</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88888"/>
        <w:sz w:val="18"/>
        <w:szCs w:val="18"/>
      </w:rPr>
      <w:t xml:space="preserve">CONFIDENTIAL — VERIXA IP NARRATIVE (NDA-Protected)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b/>
      <w:bCs/>
      <w:color w:val="0F3D5C"/>
      <w:sz w:val="32"/>
      <w:szCs w:val="32"/>
      <w:rFonts w:ascii="Arial" w:cs="Arial" w:eastAsia="Arial" w:hAnsi="Arial"/>
    </w:rPr>
  </w:style>
  <w:style w:type="paragraph" w:styleId="Heading2">
    <w:name w:val="Heading 2"/>
    <w:basedOn w:val="Normal"/>
    <w:next w:val="Normal"/>
    <w:qFormat/>
    <w:pPr>
      <w:spacing w:before="240" w:after="140"/>
      <w:outlineLvl w:val="1"/>
    </w:pPr>
    <w:rPr>
      <w:b/>
      <w:bCs/>
      <w:color w:val="0F3D5C"/>
      <w:sz w:val="26"/>
      <w:szCs w:val="26"/>
      <w:rFonts w:ascii="Arial" w:cs="Arial" w:eastAsia="Arial" w:hAnsi="Arial"/>
    </w:rPr>
  </w:style>
  <w:style w:type="paragraph" w:styleId="Heading3">
    <w:name w:val="Heading 3"/>
    <w:basedOn w:val="Normal"/>
    <w:next w:val="Normal"/>
    <w:qFormat/>
    <w:pPr>
      <w:spacing w:before="180" w:after="100"/>
      <w:outlineLvl w:val="2"/>
    </w:pPr>
    <w:rPr>
      <w:b/>
      <w:bCs/>
      <w:color w:val="404040"/>
      <w:sz w:val="22"/>
      <w:szCs w:val="22"/>
      <w:rFonts w:ascii="Arial" w:cs="Arial" w:eastAsia="Arial" w:hAnsi="Aria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comments" Target="comment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DC9293DBB0D4190A49C07FE5C5C42" ma:contentTypeVersion="10" ma:contentTypeDescription="Create a new document." ma:contentTypeScope="" ma:versionID="ee3347f9e17981830c50ed8ff15275ab">
  <xsd:schema xmlns:xsd="http://www.w3.org/2001/XMLSchema" xmlns:xs="http://www.w3.org/2001/XMLSchema" xmlns:p="http://schemas.microsoft.com/office/2006/metadata/properties" xmlns:ns2="76935354-188e-47b9-bde5-cf8fba0c8be5" targetNamespace="http://schemas.microsoft.com/office/2006/metadata/properties" ma:root="true" ma:fieldsID="b913bbdfa129bc70be1f2aed6f7204eb" ns2:_="">
    <xsd:import namespace="76935354-188e-47b9-bde5-cf8fba0c8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35354-188e-47b9-bde5-cf8fba0c8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54207-aa0b-49b1-9516-5a42b324ee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35354-188e-47b9-bde5-cf8fba0c8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6403B-3E2E-4E3C-A62E-8775C6D37566}"/>
</file>

<file path=customXml/itemProps2.xml><?xml version="1.0" encoding="utf-8"?>
<ds:datastoreItem xmlns:ds="http://schemas.openxmlformats.org/officeDocument/2006/customXml" ds:itemID="{857A314A-F5D0-4C04-85AC-C1F912FD70B4}"/>
</file>

<file path=customXml/itemProps3.xml><?xml version="1.0" encoding="utf-8"?>
<ds:datastoreItem xmlns:ds="http://schemas.openxmlformats.org/officeDocument/2006/customXml" ds:itemID="{5C640351-797B-4188-91B3-DF4A00BE6B7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Verixa IP Narrative — Investor &amp; Design-Partner Data Room</dc:title>
  <dc:creator>Verixa — IP Strategy</dc:creator>
  <dc:description>NDA-protected IP overview</dc:description>
  <cp:lastModifiedBy>Un-named</cp:lastModifiedBy>
  <cp:revision>1</cp:revision>
  <dcterms:created xsi:type="dcterms:W3CDTF">2026-05-24T06:31:35Z</dcterms:created>
  <dcterms:modified xsi:type="dcterms:W3CDTF">2026-05-24T06:31:35Z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0x01010072CDC9293DBB0D4190A49C07FE5C5C42</vt:lpwstr>
  </property>
</Properties>
</file>