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jc w:val="center"/>
      </w:pPr>
      <w:r>
        <w:rPr>
          <w:rFonts w:ascii="Arial" w:cs="Arial" w:eastAsia="Arial" w:hAnsi="Arial"/>
          <w:b/>
          <w:bCs/>
          <w:sz w:val="28"/>
          <w:szCs w:val="28"/>
        </w:rPr>
        <w:t xml:space="preserve">CONFIDENTIALITY AND NONDISCLOSURE AGREEMENT</w:t>
      </w:r>
    </w:p>
    <w:p>
      <w:pPr>
        <w:spacing w:after="320"/>
        <w:jc w:val="center"/>
      </w:pPr>
      <w:r>
        <w:rPr>
          <w:rFonts w:ascii="Arial" w:cs="Arial" w:eastAsia="Arial" w:hAnsi="Arial"/>
          <w:i/>
          <w:iCs/>
          <w:color w:val="555555"/>
          <w:sz w:val="20"/>
          <w:szCs w:val="20"/>
        </w:rPr>
        <w:t xml:space="preserve">IPflair Consulting Pvt Ltd — with Service Seeker proposed edits (marked in blue underline) — v2, 2026-06-12</w:t>
      </w:r>
    </w:p>
    <w:p>
      <w:pPr>
        <w:spacing w:after="160" w:before="240"/>
      </w:pPr>
      <w:r>
        <w:rPr>
          <w:rFonts w:ascii="Arial" w:cs="Arial" w:eastAsia="Arial" w:hAnsi="Arial"/>
          <w:b/>
          <w:bCs/>
          <w:sz w:val="24"/>
          <w:szCs w:val="24"/>
        </w:rPr>
        <w:t xml:space="preserve">Summary of Proposed Edits (for IPflair’s quick review)</w:t>
      </w:r>
    </w:p>
    <w:p>
      <w:pPr>
        <w:pStyle w:val="ListParagraph"/>
        <w:numPr>
          <w:ilvl w:val="0"/>
          <w:numId w:val="2"/>
        </w:numPr>
        <w:spacing w:after="100"/>
      </w:pPr>
      <w:r>
        <w:rPr>
          <w:rFonts w:ascii="Arial" w:cs="Arial" w:eastAsia="Arial" w:hAnsi="Arial"/>
          <w:sz w:val="20"/>
          <w:szCs w:val="20"/>
        </w:rPr>
        <w:t xml:space="preserve">Deemed confidentiality for invention materials — specifications, claims, drawings protected whether or not individually marked (Clause A, final paragraph).</w:t>
      </w:r>
    </w:p>
    <w:p>
      <w:pPr>
        <w:pStyle w:val="ListParagraph"/>
        <w:numPr>
          <w:ilvl w:val="0"/>
          <w:numId w:val="2"/>
        </w:numPr>
        <w:spacing w:after="100"/>
      </w:pPr>
      <w:r>
        <w:rPr>
          <w:rFonts w:ascii="Arial" w:cs="Arial" w:eastAsia="Arial" w:hAnsi="Arial"/>
          <w:sz w:val="20"/>
          <w:szCs w:val="20"/>
        </w:rPr>
        <w:t xml:space="preserve">Written-records standard on prior-knowledge and independent-development exclusions (Clauses B(1), B(5)).</w:t>
      </w:r>
    </w:p>
    <w:p>
      <w:pPr>
        <w:pStyle w:val="ListParagraph"/>
        <w:numPr>
          <w:ilvl w:val="0"/>
          <w:numId w:val="2"/>
        </w:numPr>
        <w:spacing w:after="100"/>
      </w:pPr>
      <w:r>
        <w:rPr>
          <w:rFonts w:ascii="Arial" w:cs="Arial" w:eastAsia="Arial" w:hAnsi="Arial"/>
          <w:sz w:val="20"/>
          <w:szCs w:val="20"/>
        </w:rPr>
        <w:t xml:space="preserve">“Representatives” defined — access restricted to identified, need-to-know personnel bound in writing (Clause C(3), new Clause D).</w:t>
      </w:r>
    </w:p>
    <w:p>
      <w:pPr>
        <w:pStyle w:val="ListParagraph"/>
        <w:numPr>
          <w:ilvl w:val="0"/>
          <w:numId w:val="2"/>
        </w:numPr>
        <w:spacing w:after="100"/>
      </w:pPr>
      <w:r>
        <w:rPr>
          <w:rFonts w:ascii="Arial" w:cs="Arial" w:eastAsia="Arial" w:hAnsi="Arial"/>
          <w:sz w:val="20"/>
          <w:szCs w:val="20"/>
        </w:rPr>
        <w:t xml:space="preserve">No disclosure to subcontractors, foreign counsel, offshore reviewers, or external consultants without prior written approval (Clause C(4)).</w:t>
      </w:r>
    </w:p>
    <w:p>
      <w:pPr>
        <w:pStyle w:val="ListParagraph"/>
        <w:numPr>
          <w:ilvl w:val="0"/>
          <w:numId w:val="2"/>
        </w:numPr>
        <w:spacing w:after="100"/>
      </w:pPr>
      <w:r>
        <w:rPr>
          <w:rFonts w:ascii="Arial" w:cs="Arial" w:eastAsia="Arial" w:hAnsi="Arial"/>
          <w:sz w:val="20"/>
          <w:szCs w:val="20"/>
        </w:rPr>
        <w:t xml:space="preserve">Return / destruction of materials on request or completion (Clause C(5)).</w:t>
      </w:r>
    </w:p>
    <w:p>
      <w:pPr>
        <w:pStyle w:val="ListParagraph"/>
        <w:numPr>
          <w:ilvl w:val="0"/>
          <w:numId w:val="2"/>
        </w:numPr>
        <w:spacing w:after="100"/>
      </w:pPr>
      <w:r>
        <w:rPr>
          <w:rFonts w:ascii="Arial" w:cs="Arial" w:eastAsia="Arial" w:hAnsi="Arial"/>
          <w:sz w:val="20"/>
          <w:szCs w:val="20"/>
        </w:rPr>
        <w:t xml:space="preserve">No use for training, templates, knowledge bases, marketing, or other clients (Clause C(6)).</w:t>
      </w:r>
    </w:p>
    <w:p>
      <w:pPr>
        <w:pStyle w:val="ListParagraph"/>
        <w:numPr>
          <w:ilvl w:val="0"/>
          <w:numId w:val="2"/>
        </w:numPr>
        <w:spacing w:after="100"/>
      </w:pPr>
      <w:r>
        <w:rPr>
          <w:rFonts w:ascii="Arial" w:cs="Arial" w:eastAsia="Arial" w:hAnsi="Arial"/>
          <w:sz w:val="20"/>
          <w:szCs w:val="20"/>
        </w:rPr>
        <w:t xml:space="preserve">No upload of materials into public or third-party AI tools, document-automation, translation, or external cloud platforms without prior written approval (Clause C(7)).</w:t>
      </w:r>
    </w:p>
    <w:p>
      <w:pPr>
        <w:pStyle w:val="ListParagraph"/>
        <w:numPr>
          <w:ilvl w:val="0"/>
          <w:numId w:val="2"/>
        </w:numPr>
        <w:spacing w:after="100"/>
      </w:pPr>
      <w:r>
        <w:rPr>
          <w:rFonts w:ascii="Arial" w:cs="Arial" w:eastAsia="Arial" w:hAnsi="Arial"/>
          <w:sz w:val="20"/>
          <w:szCs w:val="20"/>
        </w:rPr>
        <w:t xml:space="preserve">Breach notification within 24 hours (Clause C(8)).</w:t>
      </w:r>
    </w:p>
    <w:p>
      <w:pPr>
        <w:pStyle w:val="ListParagraph"/>
        <w:numPr>
          <w:ilvl w:val="0"/>
          <w:numId w:val="2"/>
        </w:numPr>
        <w:spacing w:after="100"/>
      </w:pPr>
      <w:r>
        <w:rPr>
          <w:rFonts w:ascii="Arial" w:cs="Arial" w:eastAsia="Arial" w:hAnsi="Arial"/>
          <w:sz w:val="20"/>
          <w:szCs w:val="20"/>
        </w:rPr>
        <w:t xml:space="preserve">Term: five (5) years; trade-secret obligations survive while trade-secret status is maintained (Clause E).</w:t>
      </w:r>
    </w:p>
    <w:p>
      <w:pPr>
        <w:pStyle w:val="ListParagraph"/>
        <w:numPr>
          <w:ilvl w:val="0"/>
          <w:numId w:val="2"/>
        </w:numPr>
        <w:spacing w:after="100"/>
      </w:pPr>
      <w:r>
        <w:rPr>
          <w:rFonts w:ascii="Arial" w:cs="Arial" w:eastAsia="Arial" w:hAnsi="Arial"/>
          <w:sz w:val="20"/>
          <w:szCs w:val="20"/>
        </w:rPr>
        <w:t xml:space="preserve">Injunctive relief; no licence; Service Seeker successor/assignee coverage and assignment right (Clauses F, G, H).</w:t>
      </w:r>
    </w:p>
    <w:p>
      <w:pPr>
        <w:pStyle w:val="ListParagraph"/>
        <w:numPr>
          <w:ilvl w:val="0"/>
          <w:numId w:val="2"/>
        </w:numPr>
        <w:spacing w:after="100"/>
      </w:pPr>
      <w:r>
        <w:rPr>
          <w:rFonts w:ascii="Arial" w:cs="Arial" w:eastAsia="Arial" w:hAnsi="Arial"/>
          <w:sz w:val="20"/>
          <w:szCs w:val="20"/>
        </w:rPr>
        <w:t xml:space="preserve">Jurisdiction: courts of Bengaluru, Karnataka (Clause I).</w:t>
      </w:r>
    </w:p>
    <w:p>
      <w:r>
        <w:br w:type="page"/>
      </w:r>
    </w:p>
    <w:p>
      <w:pPr>
        <w:spacing w:after="160"/>
      </w:pPr>
      <w:r>
        <w:rPr>
          <w:rFonts w:ascii="Arial" w:cs="Arial" w:eastAsia="Arial" w:hAnsi="Arial"/>
          <w:sz w:val="22"/>
          <w:szCs w:val="22"/>
        </w:rPr>
        <w:t xml:space="preserve">This confidentiality agreement (“Agreement”) is made as of the date </w:t>
      </w:r>
      <w:r>
        <w:rPr>
          <w:rFonts w:ascii="Arial" w:cs="Arial" w:eastAsia="Arial" w:hAnsi="Arial"/>
          <w:color w:val="1F4E99"/>
          <w:sz w:val="22"/>
          <w:szCs w:val="22"/>
          <w:u w:val="single"/>
        </w:rPr>
        <w:t xml:space="preserve">____________________</w:t>
      </w:r>
      <w:r>
        <w:rPr>
          <w:rFonts w:ascii="Arial" w:cs="Arial" w:eastAsia="Arial" w:hAnsi="Arial"/>
          <w:sz w:val="22"/>
          <w:szCs w:val="22"/>
        </w:rPr>
        <w:t xml:space="preserve"> by and between </w:t>
      </w:r>
      <w:r>
        <w:rPr>
          <w:rFonts w:ascii="Arial" w:cs="Arial" w:eastAsia="Arial" w:hAnsi="Arial"/>
          <w:b/>
          <w:bCs/>
          <w:sz w:val="22"/>
          <w:szCs w:val="22"/>
        </w:rPr>
        <w:t xml:space="preserve">IPflair Consulting Private Limited</w:t>
      </w:r>
      <w:r>
        <w:rPr>
          <w:rFonts w:ascii="Arial" w:cs="Arial" w:eastAsia="Arial" w:hAnsi="Arial"/>
          <w:sz w:val="22"/>
          <w:szCs w:val="22"/>
        </w:rPr>
        <w:t xml:space="preserve">, an IP Firm (“Service Provider”), having address at IndiQube Hexa, Site No.218/A &amp; 191, Sector 6 HSR Layout, Bengaluru, Karnataka 560102, India,</w:t>
      </w:r>
    </w:p>
    <w:p>
      <w:pPr>
        <w:spacing w:after="160"/>
      </w:pPr>
      <w:r>
        <w:rPr>
          <w:rFonts w:ascii="Arial" w:cs="Arial" w:eastAsia="Arial" w:hAnsi="Arial"/>
          <w:sz w:val="22"/>
          <w:szCs w:val="22"/>
        </w:rPr>
        <w:t xml:space="preserve">and </w:t>
      </w:r>
      <w:r>
        <w:rPr>
          <w:rFonts w:ascii="Arial" w:cs="Arial" w:eastAsia="Arial" w:hAnsi="Arial"/>
          <w:color w:val="1F4E99"/>
          <w:sz w:val="22"/>
          <w:szCs w:val="22"/>
          <w:u w:val="single"/>
        </w:rPr>
        <w:t xml:space="preserve">Vimal Veereshwarayya, sole inventor and applicant</w:t>
      </w:r>
      <w:r>
        <w:rPr>
          <w:rFonts w:ascii="Arial" w:cs="Arial" w:eastAsia="Arial" w:hAnsi="Arial"/>
          <w:sz w:val="22"/>
          <w:szCs w:val="22"/>
        </w:rPr>
        <w:t xml:space="preserve"> (“Service Seeker”), having address at </w:t>
      </w:r>
      <w:r>
        <w:rPr>
          <w:rFonts w:ascii="Arial" w:cs="Arial" w:eastAsia="Arial" w:hAnsi="Arial"/>
          <w:color w:val="1F4E99"/>
          <w:sz w:val="22"/>
          <w:szCs w:val="22"/>
          <w:u w:val="single"/>
        </w:rPr>
        <w:t xml:space="preserve">______________________________________________</w:t>
      </w:r>
      <w:r>
        <w:rPr>
          <w:rFonts w:ascii="Arial" w:cs="Arial" w:eastAsia="Arial" w:hAnsi="Arial"/>
          <w:sz w:val="22"/>
          <w:szCs w:val="22"/>
        </w:rPr>
        <w:t xml:space="preserve">. </w:t>
      </w:r>
      <w:r>
        <w:rPr>
          <w:rFonts w:ascii="Arial" w:cs="Arial" w:eastAsia="Arial" w:hAnsi="Arial"/>
          <w:color w:val="1F4E99"/>
          <w:sz w:val="22"/>
          <w:szCs w:val="22"/>
          <w:u w:val="single"/>
        </w:rPr>
        <w:t xml:space="preserve">“Service Seeker” includes Vimal Veereshwarayya and his affiliates, nominees, successors, assignees, licensees, and any entity to which the relevant intellectual property is assigned or licensed.</w:t>
      </w:r>
    </w:p>
    <w:p>
      <w:pPr>
        <w:spacing w:after="160"/>
      </w:pPr>
      <w:r>
        <w:rPr>
          <w:rFonts w:ascii="Arial" w:cs="Arial" w:eastAsia="Arial" w:hAnsi="Arial"/>
          <w:sz w:val="22"/>
          <w:szCs w:val="22"/>
        </w:rPr>
        <w:t xml:space="preserve">WHEREAS, Service Seeker agrees to furnish certain confidential information relating to businesses, involving ideas, inventions, or products for the purposes of assistance in Patent Filing and Registrations, providing other Intellectual Property related services, etc. to Service Provider. This Agreement shall govern the conditions of disclosure by Service Seeker to Service Provider of certain “Confidential Information”.</w:t>
      </w:r>
    </w:p>
    <w:p>
      <w:pPr>
        <w:spacing w:after="160" w:before="240"/>
      </w:pPr>
      <w:r>
        <w:rPr>
          <w:rFonts w:ascii="Arial" w:cs="Arial" w:eastAsia="Arial" w:hAnsi="Arial"/>
          <w:b/>
          <w:bCs/>
          <w:sz w:val="24"/>
          <w:szCs w:val="24"/>
        </w:rPr>
        <w:t xml:space="preserve">A. “Confidential Information”</w:t>
      </w:r>
    </w:p>
    <w:p>
      <w:pPr>
        <w:spacing w:after="160"/>
      </w:pPr>
      <w:r>
        <w:rPr>
          <w:rFonts w:ascii="Arial" w:cs="Arial" w:eastAsia="Arial" w:hAnsi="Arial"/>
          <w:sz w:val="22"/>
          <w:szCs w:val="22"/>
        </w:rPr>
        <w:t xml:space="preserve">“Confidential Information”, as used herein, means all engineering and business information (including prototypes, drawings, data, trade secrets and intellectual property) which:</w:t>
      </w:r>
    </w:p>
    <w:p>
      <w:pPr>
        <w:spacing w:after="160"/>
      </w:pPr>
      <w:r>
        <w:rPr>
          <w:rFonts w:ascii="Arial" w:cs="Arial" w:eastAsia="Arial" w:hAnsi="Arial"/>
          <w:sz w:val="22"/>
          <w:szCs w:val="22"/>
        </w:rPr>
        <w:t xml:space="preserve">(1) if tangible, is identified in writing as confidential at the time of its disclosure to the recipient, or</w:t>
      </w:r>
    </w:p>
    <w:p>
      <w:pPr>
        <w:spacing w:after="160"/>
      </w:pPr>
      <w:r>
        <w:rPr>
          <w:rFonts w:ascii="Arial" w:cs="Arial" w:eastAsia="Arial" w:hAnsi="Arial"/>
          <w:sz w:val="22"/>
          <w:szCs w:val="22"/>
        </w:rPr>
        <w:t xml:space="preserve">(2) if intangible, is identified at the time of disclosure to the recipient as confidential and is later promptly confirmed in writing within one (1) month from the date of disclosure as being confidential.</w:t>
      </w:r>
    </w:p>
    <w:p>
      <w:pPr>
        <w:spacing w:after="160"/>
      </w:pPr>
      <w:r>
        <w:rPr>
          <w:rFonts w:ascii="Arial" w:cs="Arial" w:eastAsia="Arial" w:hAnsi="Arial"/>
          <w:color w:val="1F4E99"/>
          <w:sz w:val="22"/>
          <w:szCs w:val="22"/>
          <w:u w:val="single"/>
        </w:rPr>
        <w:t xml:space="preserve">Notwithstanding the foregoing, all invention disclosures, patent specifications (provisional or complete), claims, drawings, source-code excerpts, architecture descriptions, and related technical materials furnished by Service Seeker in connection with patent services shall be deemed Confidential Information whether or not so marked or confirmed.</w:t>
      </w:r>
    </w:p>
    <w:p>
      <w:pPr>
        <w:spacing w:after="160" w:before="240"/>
      </w:pPr>
      <w:r>
        <w:rPr>
          <w:rFonts w:ascii="Arial" w:cs="Arial" w:eastAsia="Arial" w:hAnsi="Arial"/>
          <w:b/>
          <w:bCs/>
          <w:sz w:val="24"/>
          <w:szCs w:val="24"/>
        </w:rPr>
        <w:t xml:space="preserve">B. Exclusions</w:t>
      </w:r>
    </w:p>
    <w:p>
      <w:pPr>
        <w:spacing w:after="160"/>
      </w:pPr>
      <w:r>
        <w:rPr>
          <w:rFonts w:ascii="Arial" w:cs="Arial" w:eastAsia="Arial" w:hAnsi="Arial"/>
          <w:sz w:val="22"/>
          <w:szCs w:val="22"/>
        </w:rPr>
        <w:t xml:space="preserve">The term “Confidential Information” shall exclude information which:</w:t>
      </w:r>
    </w:p>
    <w:p>
      <w:pPr>
        <w:spacing w:after="160"/>
      </w:pPr>
      <w:r>
        <w:rPr>
          <w:rFonts w:ascii="Arial" w:cs="Arial" w:eastAsia="Arial" w:hAnsi="Arial"/>
          <w:sz w:val="22"/>
          <w:szCs w:val="22"/>
        </w:rPr>
        <w:t xml:space="preserve">(1) is known or possessed by the Recipient at the time of its disclosure to the recipient</w:t>
      </w:r>
      <w:r>
        <w:rPr>
          <w:rFonts w:ascii="Arial" w:cs="Arial" w:eastAsia="Arial" w:hAnsi="Arial"/>
          <w:color w:val="1F4E99"/>
          <w:sz w:val="22"/>
          <w:szCs w:val="22"/>
          <w:u w:val="single"/>
        </w:rPr>
        <w:t xml:space="preserve">, as evidenced by the Recipient’s contemporaneous written records</w:t>
      </w:r>
      <w:r>
        <w:rPr>
          <w:rFonts w:ascii="Arial" w:cs="Arial" w:eastAsia="Arial" w:hAnsi="Arial"/>
          <w:sz w:val="22"/>
          <w:szCs w:val="22"/>
        </w:rPr>
        <w:t xml:space="preserve">,</w:t>
      </w:r>
    </w:p>
    <w:p>
      <w:pPr>
        <w:spacing w:after="160"/>
      </w:pPr>
      <w:r>
        <w:rPr>
          <w:rFonts w:ascii="Arial" w:cs="Arial" w:eastAsia="Arial" w:hAnsi="Arial"/>
          <w:sz w:val="22"/>
          <w:szCs w:val="22"/>
        </w:rPr>
        <w:t xml:space="preserve">(2) is publicly known at the time of disclosure to the recipient,</w:t>
      </w:r>
    </w:p>
    <w:p>
      <w:pPr>
        <w:spacing w:after="160"/>
      </w:pPr>
      <w:r>
        <w:rPr>
          <w:rFonts w:ascii="Arial" w:cs="Arial" w:eastAsia="Arial" w:hAnsi="Arial"/>
          <w:sz w:val="22"/>
          <w:szCs w:val="22"/>
        </w:rPr>
        <w:t xml:space="preserve">(3) is subsequently received by the Recipient from a third party without restriction on disclosure,</w:t>
      </w:r>
    </w:p>
    <w:p>
      <w:pPr>
        <w:spacing w:after="160"/>
      </w:pPr>
      <w:r>
        <w:rPr>
          <w:rFonts w:ascii="Arial" w:cs="Arial" w:eastAsia="Arial" w:hAnsi="Arial"/>
          <w:sz w:val="22"/>
          <w:szCs w:val="22"/>
        </w:rPr>
        <w:t xml:space="preserve">(4) subsequently becomes publicly known without violation of this agreement,</w:t>
      </w:r>
    </w:p>
    <w:p>
      <w:pPr>
        <w:spacing w:after="160"/>
      </w:pPr>
      <w:r>
        <w:rPr>
          <w:rFonts w:ascii="Arial" w:cs="Arial" w:eastAsia="Arial" w:hAnsi="Arial"/>
          <w:sz w:val="22"/>
          <w:szCs w:val="22"/>
        </w:rPr>
        <w:t xml:space="preserve">(5) is independently developed by the recipient without access to the “Confidential Information”</w:t>
      </w:r>
      <w:r>
        <w:rPr>
          <w:rFonts w:ascii="Arial" w:cs="Arial" w:eastAsia="Arial" w:hAnsi="Arial"/>
          <w:color w:val="1F4E99"/>
          <w:sz w:val="22"/>
          <w:szCs w:val="22"/>
          <w:u w:val="single"/>
        </w:rPr>
        <w:t xml:space="preserve">, as evidenced by the Recipient’s contemporaneous written records</w:t>
      </w:r>
      <w:r>
        <w:rPr>
          <w:rFonts w:ascii="Arial" w:cs="Arial" w:eastAsia="Arial" w:hAnsi="Arial"/>
          <w:sz w:val="22"/>
          <w:szCs w:val="22"/>
        </w:rPr>
        <w:t xml:space="preserve">, or</w:t>
      </w:r>
    </w:p>
    <w:p>
      <w:pPr>
        <w:spacing w:after="160"/>
      </w:pPr>
      <w:r>
        <w:rPr>
          <w:rFonts w:ascii="Arial" w:cs="Arial" w:eastAsia="Arial" w:hAnsi="Arial"/>
          <w:sz w:val="22"/>
          <w:szCs w:val="22"/>
        </w:rPr>
        <w:t xml:space="preserve">(6) is disclosed by the recipient pursuant to a requirement of a law, regulation, or legal process</w:t>
      </w:r>
      <w:r>
        <w:rPr>
          <w:rFonts w:ascii="Arial" w:cs="Arial" w:eastAsia="Arial" w:hAnsi="Arial"/>
          <w:color w:val="1F4E99"/>
          <w:sz w:val="22"/>
          <w:szCs w:val="22"/>
          <w:u w:val="single"/>
        </w:rPr>
        <w:t xml:space="preserve">, provided the Recipient gives Service Seeker prompt written notice where legally permitted</w:t>
      </w:r>
      <w:r>
        <w:rPr>
          <w:rFonts w:ascii="Arial" w:cs="Arial" w:eastAsia="Arial" w:hAnsi="Arial"/>
          <w:sz w:val="22"/>
          <w:szCs w:val="22"/>
        </w:rPr>
        <w:t xml:space="preserve">.</w:t>
      </w:r>
    </w:p>
    <w:p>
      <w:pPr>
        <w:spacing w:after="160" w:before="240"/>
      </w:pPr>
      <w:r>
        <w:rPr>
          <w:rFonts w:ascii="Arial" w:cs="Arial" w:eastAsia="Arial" w:hAnsi="Arial"/>
          <w:b/>
          <w:bCs/>
          <w:sz w:val="24"/>
          <w:szCs w:val="24"/>
        </w:rPr>
        <w:t xml:space="preserve">C. Service Provider Obligations</w:t>
      </w:r>
    </w:p>
    <w:p>
      <w:pPr>
        <w:spacing w:after="160"/>
      </w:pPr>
      <w:r>
        <w:rPr>
          <w:rFonts w:ascii="Arial" w:cs="Arial" w:eastAsia="Arial" w:hAnsi="Arial"/>
          <w:sz w:val="22"/>
          <w:szCs w:val="22"/>
        </w:rPr>
        <w:t xml:space="preserve">With regard to the Confidential Information, Service Provider hereby agrees:</w:t>
      </w:r>
    </w:p>
    <w:p>
      <w:pPr>
        <w:spacing w:after="160"/>
      </w:pPr>
      <w:r>
        <w:rPr>
          <w:rFonts w:ascii="Arial" w:cs="Arial" w:eastAsia="Arial" w:hAnsi="Arial"/>
          <w:sz w:val="22"/>
          <w:szCs w:val="22"/>
        </w:rPr>
        <w:t xml:space="preserve">(1) To hold confidential or proprietary information or trade secrets (“confidential information”) in trust and confidence and agrees that it shall be used only for the purpose of Intellectual Property patent elaboration &amp; application service for Service Seeker and shall not be used for any other purpose or disclosed to any third party.</w:t>
      </w:r>
    </w:p>
    <w:p>
      <w:pPr>
        <w:spacing w:after="160"/>
      </w:pPr>
      <w:r>
        <w:rPr>
          <w:rFonts w:ascii="Arial" w:cs="Arial" w:eastAsia="Arial" w:hAnsi="Arial"/>
          <w:sz w:val="22"/>
          <w:szCs w:val="22"/>
        </w:rPr>
        <w:t xml:space="preserve">(2) To safeguard and exercise reasonable precautions against disclosure of confidential information to others.</w:t>
      </w:r>
    </w:p>
    <w:p>
      <w:pPr>
        <w:spacing w:after="160"/>
      </w:pPr>
      <w:r>
        <w:rPr>
          <w:rFonts w:ascii="Arial" w:cs="Arial" w:eastAsia="Arial" w:hAnsi="Arial"/>
          <w:sz w:val="22"/>
          <w:szCs w:val="22"/>
        </w:rPr>
        <w:t xml:space="preserve">(3) To not disclose confidential information to any person other than its </w:t>
      </w:r>
      <w:r>
        <w:rPr>
          <w:rFonts w:ascii="Arial" w:cs="Arial" w:eastAsia="Arial" w:hAnsi="Arial"/>
          <w:color w:val="1F4E99"/>
          <w:sz w:val="22"/>
          <w:szCs w:val="22"/>
          <w:u w:val="single"/>
        </w:rPr>
        <w:t xml:space="preserve">Representatives (as defined in Clause D)</w:t>
      </w:r>
      <w:r>
        <w:rPr>
          <w:rFonts w:ascii="Arial" w:cs="Arial" w:eastAsia="Arial" w:hAnsi="Arial"/>
          <w:sz w:val="22"/>
          <w:szCs w:val="22"/>
        </w:rPr>
        <w:t xml:space="preserve"> who agree to execute and be bound by the terms of this Agreement.</w:t>
      </w:r>
    </w:p>
    <w:p>
      <w:pPr>
        <w:spacing w:after="160"/>
      </w:pPr>
      <w:r>
        <w:rPr>
          <w:rFonts w:ascii="Arial" w:cs="Arial" w:eastAsia="Arial" w:hAnsi="Arial"/>
          <w:color w:val="1F4E99"/>
          <w:sz w:val="22"/>
          <w:szCs w:val="22"/>
          <w:u w:val="single"/>
        </w:rPr>
        <w:t xml:space="preserve">(4) Not to disclose Confidential Information to any subcontractor, foreign counsel, offshore reviewer, external consultant, or non-employee representative without Service Seeker’s prior written approval.</w:t>
      </w:r>
    </w:p>
    <w:p>
      <w:pPr>
        <w:spacing w:after="160"/>
      </w:pPr>
      <w:r>
        <w:rPr>
          <w:rFonts w:ascii="Arial" w:cs="Arial" w:eastAsia="Arial" w:hAnsi="Arial"/>
          <w:color w:val="1F4E99"/>
          <w:sz w:val="22"/>
          <w:szCs w:val="22"/>
          <w:u w:val="single"/>
        </w:rPr>
        <w:t xml:space="preserve">(5) Upon written request of Service Seeker, or upon completion or termination of the services, to promptly return or securely destroy all Confidential Information (including all copies, extracts, and derived work product not required to be retained by law or professional-conduct rules), and to confirm such return or destruction in writing.</w:t>
      </w:r>
    </w:p>
    <w:p>
      <w:pPr>
        <w:spacing w:after="160"/>
      </w:pPr>
      <w:r>
        <w:rPr>
          <w:rFonts w:ascii="Arial" w:cs="Arial" w:eastAsia="Arial" w:hAnsi="Arial"/>
          <w:color w:val="1F4E99"/>
          <w:sz w:val="22"/>
          <w:szCs w:val="22"/>
          <w:u w:val="single"/>
        </w:rPr>
        <w:t xml:space="preserve">(6) Not to use the Confidential Information, in whole or in part, for training of any personnel or system, for the creation of templates, knowledge bases, or marketing materials, or for the benefit of any other client.</w:t>
      </w:r>
    </w:p>
    <w:p>
      <w:pPr>
        <w:spacing w:after="160"/>
      </w:pPr>
      <w:r>
        <w:rPr>
          <w:rFonts w:ascii="Arial" w:cs="Arial" w:eastAsia="Arial" w:hAnsi="Arial"/>
          <w:color w:val="1F4E99"/>
          <w:sz w:val="22"/>
          <w:szCs w:val="22"/>
          <w:u w:val="single"/>
        </w:rPr>
        <w:t xml:space="preserve">(7) Not to upload, input, process, summarise, translate, analyse, or store Confidential Information in any public AI system, third-party generative AI tool, document automation system, translation tool, or external cloud platform unless Service Seeker gives prior written approval and the tool is subject to enterprise no-training and confidentiality terms.</w:t>
      </w:r>
    </w:p>
    <w:p>
      <w:pPr>
        <w:spacing w:after="160"/>
      </w:pPr>
      <w:r>
        <w:rPr>
          <w:rFonts w:ascii="Arial" w:cs="Arial" w:eastAsia="Arial" w:hAnsi="Arial"/>
          <w:color w:val="1F4E99"/>
          <w:sz w:val="22"/>
          <w:szCs w:val="22"/>
          <w:u w:val="single"/>
        </w:rPr>
        <w:t xml:space="preserve">(8) To notify Service Seeker in writing within twenty-four (24) hours of becoming aware of any actual or suspected unauthorised access, disclosure, loss, misuse, or compromise of Confidential Information.</w:t>
      </w:r>
    </w:p>
    <w:p>
      <w:pPr>
        <w:spacing w:after="160" w:before="240"/>
      </w:pPr>
      <w:r>
        <w:rPr>
          <w:rFonts w:ascii="Arial" w:cs="Arial" w:eastAsia="Arial" w:hAnsi="Arial"/>
          <w:b/>
          <w:bCs/>
          <w:sz w:val="24"/>
          <w:szCs w:val="24"/>
        </w:rPr>
        <w:t xml:space="preserve">D. Representatives</w:t>
      </w:r>
    </w:p>
    <w:p>
      <w:pPr>
        <w:spacing w:after="160"/>
      </w:pPr>
      <w:r>
        <w:rPr>
          <w:rFonts w:ascii="Arial" w:cs="Arial" w:eastAsia="Arial" w:hAnsi="Arial"/>
          <w:color w:val="1F4E99"/>
          <w:sz w:val="22"/>
          <w:szCs w:val="22"/>
          <w:u w:val="single"/>
        </w:rPr>
        <w:t xml:space="preserve">“Representatives” means Service Provider’s directors, officers, employees, registered patent agents, attorneys, consultants, contractors, and subcontractors who have a strict need to know for the authorised purpose, are identified to Service Seeker on request, and are bound by written confidentiality obligations no less protective than this Agreement. Disclosure to consultants, contractors, and subcontractors additionally requires prior written approval under Clause C(4).</w:t>
      </w:r>
    </w:p>
    <w:p>
      <w:pPr>
        <w:spacing w:after="160" w:before="240"/>
      </w:pPr>
      <w:r>
        <w:rPr>
          <w:rFonts w:ascii="Arial" w:cs="Arial" w:eastAsia="Arial" w:hAnsi="Arial"/>
          <w:b/>
          <w:bCs/>
          <w:sz w:val="24"/>
          <w:szCs w:val="24"/>
        </w:rPr>
        <w:t xml:space="preserve">E. Term</w:t>
      </w:r>
    </w:p>
    <w:p>
      <w:pPr>
        <w:spacing w:after="160"/>
      </w:pPr>
      <w:r>
        <w:rPr>
          <w:rFonts w:ascii="Arial" w:cs="Arial" w:eastAsia="Arial" w:hAnsi="Arial"/>
          <w:color w:val="1F4E99"/>
          <w:sz w:val="22"/>
          <w:szCs w:val="22"/>
          <w:u w:val="single"/>
        </w:rPr>
        <w:t xml:space="preserve">This Agreement shall remain in effect for five (5) years from the date first written above. The obligations of confidentiality with respect to any Confidential Information constituting a trade secret shall survive for so long as such information remains a trade secret under applicable law.</w:t>
      </w:r>
    </w:p>
    <w:p>
      <w:pPr>
        <w:spacing w:after="160" w:before="240"/>
      </w:pPr>
      <w:r>
        <w:rPr>
          <w:rFonts w:ascii="Arial" w:cs="Arial" w:eastAsia="Arial" w:hAnsi="Arial"/>
          <w:b/>
          <w:bCs/>
          <w:sz w:val="24"/>
          <w:szCs w:val="24"/>
        </w:rPr>
        <w:t xml:space="preserve">F. Remedies</w:t>
      </w:r>
    </w:p>
    <w:p>
      <w:pPr>
        <w:spacing w:after="160"/>
      </w:pPr>
      <w:r>
        <w:rPr>
          <w:rFonts w:ascii="Arial" w:cs="Arial" w:eastAsia="Arial" w:hAnsi="Arial"/>
          <w:color w:val="1F4E99"/>
          <w:sz w:val="22"/>
          <w:szCs w:val="22"/>
          <w:u w:val="single"/>
        </w:rPr>
        <w:t xml:space="preserve">The parties acknowledge that unauthorised use or disclosure of Confidential Information may cause irreparable harm for which monetary damages may be inadequate, and that Service Seeker shall be entitled to seek injunctive or other equitable relief in addition to any other remedies available at law.</w:t>
      </w:r>
    </w:p>
    <w:p>
      <w:pPr>
        <w:spacing w:after="160" w:before="240"/>
      </w:pPr>
      <w:r>
        <w:rPr>
          <w:rFonts w:ascii="Arial" w:cs="Arial" w:eastAsia="Arial" w:hAnsi="Arial"/>
          <w:b/>
          <w:bCs/>
          <w:sz w:val="24"/>
          <w:szCs w:val="24"/>
        </w:rPr>
        <w:t xml:space="preserve">G. No Licence</w:t>
      </w:r>
    </w:p>
    <w:p>
      <w:pPr>
        <w:spacing w:after="160"/>
      </w:pPr>
      <w:r>
        <w:rPr>
          <w:rFonts w:ascii="Arial" w:cs="Arial" w:eastAsia="Arial" w:hAnsi="Arial"/>
          <w:color w:val="1F4E99"/>
          <w:sz w:val="22"/>
          <w:szCs w:val="22"/>
          <w:u w:val="single"/>
        </w:rPr>
        <w:t xml:space="preserve">Nothing in this Agreement grants the Service Provider any licence, ownership, or other right in or to the Confidential Information or any intellectual property of the Service Seeker, except the limited right to use it solely for the purpose stated in Clause C(1).</w:t>
      </w:r>
    </w:p>
    <w:p>
      <w:pPr>
        <w:spacing w:after="160" w:before="240"/>
      </w:pPr>
      <w:r>
        <w:rPr>
          <w:rFonts w:ascii="Arial" w:cs="Arial" w:eastAsia="Arial" w:hAnsi="Arial"/>
          <w:b/>
          <w:bCs/>
          <w:sz w:val="24"/>
          <w:szCs w:val="24"/>
        </w:rPr>
        <w:t xml:space="preserve">H. Assignment</w:t>
      </w:r>
    </w:p>
    <w:p>
      <w:pPr>
        <w:spacing w:after="160"/>
      </w:pPr>
      <w:r>
        <w:rPr>
          <w:rFonts w:ascii="Arial" w:cs="Arial" w:eastAsia="Arial" w:hAnsi="Arial"/>
          <w:color w:val="1F4E99"/>
          <w:sz w:val="22"/>
          <w:szCs w:val="22"/>
          <w:u w:val="single"/>
        </w:rPr>
        <w:t xml:space="preserve">Service Seeker may assign this Agreement to any entity that owns, receives, licenses, or commercialises the relevant intellectual property. Service Provider may not assign this Agreement without Service Seeker’s prior written consent.</w:t>
      </w:r>
    </w:p>
    <w:p>
      <w:pPr>
        <w:spacing w:after="160" w:before="240"/>
      </w:pPr>
      <w:r>
        <w:rPr>
          <w:rFonts w:ascii="Arial" w:cs="Arial" w:eastAsia="Arial" w:hAnsi="Arial"/>
          <w:b/>
          <w:bCs/>
          <w:sz w:val="24"/>
          <w:szCs w:val="24"/>
        </w:rPr>
        <w:t xml:space="preserve">I. Governing Law</w:t>
      </w:r>
    </w:p>
    <w:p>
      <w:pPr>
        <w:spacing w:after="160"/>
      </w:pPr>
      <w:r>
        <w:rPr>
          <w:rFonts w:ascii="Arial" w:cs="Arial" w:eastAsia="Arial" w:hAnsi="Arial"/>
          <w:sz w:val="22"/>
          <w:szCs w:val="22"/>
        </w:rPr>
        <w:t xml:space="preserve">The laws of India shall govern this Agreement and its validity</w:t>
      </w:r>
      <w:r>
        <w:rPr>
          <w:rFonts w:ascii="Arial" w:cs="Arial" w:eastAsia="Arial" w:hAnsi="Arial"/>
          <w:color w:val="1F4E99"/>
          <w:sz w:val="22"/>
          <w:szCs w:val="22"/>
          <w:u w:val="single"/>
        </w:rPr>
        <w:t xml:space="preserve">, and the courts at Bengaluru, Karnataka shall have exclusive jurisdiction over any dispute arising out of or in connection with this Agreement</w:t>
      </w:r>
      <w:r>
        <w:rPr>
          <w:rFonts w:ascii="Arial" w:cs="Arial" w:eastAsia="Arial" w:hAnsi="Arial"/>
          <w:sz w:val="22"/>
          <w:szCs w:val="22"/>
        </w:rPr>
        <w:t xml:space="preserve">.</w:t>
      </w:r>
    </w:p>
    <w:p>
      <w:pPr>
        <w:spacing w:after="240" w:before="360"/>
      </w:pPr>
      <w:r>
        <w:rPr>
          <w:rFonts w:ascii="Arial" w:cs="Arial" w:eastAsia="Arial" w:hAnsi="Arial"/>
          <w:b/>
          <w:bCs/>
          <w:sz w:val="22"/>
          <w:szCs w:val="22"/>
        </w:rPr>
        <w:t xml:space="preserve">AGREED AND ACCEPTED BY:</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4513"/>
        <w:gridCol w:w="4513"/>
      </w:tblGrid>
      <w:tr>
        <w:tc>
          <w:tcPr>
            <w:tcW w:type="dxa" w:w="4513"/>
            <w:tcBorders>
              <w:top w:val="single" w:color="AAAAAA" w:sz="1"/>
              <w:left w:val="single" w:color="AAAAAA" w:sz="1"/>
              <w:bottom w:val="single" w:color="AAAAAA" w:sz="1"/>
              <w:right w:val="single" w:color="AAAAAA" w:sz="1"/>
            </w:tcBorders>
            <w:shd w:fill="E8EEF7" w:val="clear"/>
            <w:tcMar>
              <w:top w:type="dxa" w:w="80"/>
              <w:left w:type="dxa" w:w="120"/>
              <w:bottom w:type="dxa" w:w="80"/>
              <w:right w:type="dxa" w:w="120"/>
            </w:tcMar>
          </w:tcPr>
          <w:p>
            <w:r>
              <w:rPr>
                <w:rFonts w:ascii="Arial" w:cs="Arial" w:eastAsia="Arial" w:hAnsi="Arial"/>
                <w:b/>
                <w:bCs/>
                <w:sz w:val="20"/>
                <w:szCs w:val="20"/>
              </w:rPr>
              <w:t xml:space="preserve">SERVICE SEEKER</w:t>
            </w:r>
          </w:p>
        </w:tc>
        <w:tc>
          <w:tcPr>
            <w:tcW w:type="dxa" w:w="4513"/>
            <w:tcBorders>
              <w:top w:val="single" w:color="AAAAAA" w:sz="1"/>
              <w:left w:val="single" w:color="AAAAAA" w:sz="1"/>
              <w:bottom w:val="single" w:color="AAAAAA" w:sz="1"/>
              <w:right w:val="single" w:color="AAAAAA" w:sz="1"/>
            </w:tcBorders>
            <w:shd w:fill="E8EEF7" w:val="clear"/>
            <w:tcMar>
              <w:top w:type="dxa" w:w="80"/>
              <w:left w:type="dxa" w:w="120"/>
              <w:bottom w:type="dxa" w:w="80"/>
              <w:right w:type="dxa" w:w="120"/>
            </w:tcMar>
          </w:tcPr>
          <w:p>
            <w:r>
              <w:rPr>
                <w:rFonts w:ascii="Arial" w:cs="Arial" w:eastAsia="Arial" w:hAnsi="Arial"/>
                <w:b/>
                <w:bCs/>
                <w:sz w:val="20"/>
                <w:szCs w:val="20"/>
              </w:rPr>
              <w:t xml:space="preserve">SERVICE PROVIDER</w:t>
            </w:r>
          </w:p>
        </w:tc>
      </w:tr>
      <w:tr>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Signed:</w:t>
            </w:r>
          </w:p>
        </w:tc>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Signed:</w:t>
            </w:r>
          </w:p>
        </w:tc>
      </w:tr>
      <w:tr>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Name: Vimal Veereshwarayya</w:t>
            </w:r>
          </w:p>
        </w:tc>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Name: Khaja Haruni</w:t>
            </w:r>
          </w:p>
        </w:tc>
      </w:tr>
      <w:tr>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Title: Sole Inventor &amp; Applicant</w:t>
            </w:r>
          </w:p>
        </w:tc>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Title: Executive Director</w:t>
            </w:r>
          </w:p>
        </w:tc>
      </w:tr>
      <w:tr>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Date:</w:t>
            </w:r>
          </w:p>
        </w:tc>
        <w:tc>
          <w:tcPr>
            <w:tcW w:type="dxa" w:w="4513"/>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rFonts w:ascii="Arial" w:cs="Arial" w:eastAsia="Arial" w:hAnsi="Arial"/>
                <w:b w:val="false"/>
                <w:bCs w:val="false"/>
                <w:sz w:val="20"/>
                <w:szCs w:val="20"/>
              </w:rPr>
              <w:t xml:space="preserve">Date:</w:t>
            </w:r>
          </w:p>
        </w:tc>
      </w:tr>
    </w:tbl>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4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otnotes" Target="footnot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endnotes" Target="endnotes.xml"/><Relationship Id="rId9" Type="http://schemas.openxmlformats.org/officeDocument/2006/relationships/customXml" Target="../customXml/item2.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DC9293DBB0D4190A49C07FE5C5C42" ma:contentTypeVersion="10" ma:contentTypeDescription="Create a new document." ma:contentTypeScope="" ma:versionID="ee3347f9e17981830c50ed8ff15275ab">
  <xsd:schema xmlns:xsd="http://www.w3.org/2001/XMLSchema" xmlns:xs="http://www.w3.org/2001/XMLSchema" xmlns:p="http://schemas.microsoft.com/office/2006/metadata/properties" xmlns:ns2="76935354-188e-47b9-bde5-cf8fba0c8be5" targetNamespace="http://schemas.microsoft.com/office/2006/metadata/properties" ma:root="true" ma:fieldsID="b913bbdfa129bc70be1f2aed6f7204eb" ns2:_="">
    <xsd:import namespace="76935354-188e-47b9-bde5-cf8fba0c8b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35354-188e-47b9-bde5-cf8fba0c8b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454207-aa0b-49b1-9516-5a42b324ee4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935354-188e-47b9-bde5-cf8fba0c8be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C2C3A1-2EF1-48B4-BEBB-8E496E95EE6C}"/>
</file>

<file path=customXml/itemProps2.xml><?xml version="1.0" encoding="utf-8"?>
<ds:datastoreItem xmlns:ds="http://schemas.openxmlformats.org/officeDocument/2006/customXml" ds:itemID="{BF155630-2C1C-46F7-9757-E354D940F93D}"/>
</file>

<file path=customXml/itemProps3.xml><?xml version="1.0" encoding="utf-8"?>
<ds:datastoreItem xmlns:ds="http://schemas.openxmlformats.org/officeDocument/2006/customXml" ds:itemID="{BE862DF6-EE21-443D-B772-0AD8C718C36D}"/>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2026-06-12T07:23:22Z</dcterms:created>
  <dcterms:modified xsi:type="dcterms:W3CDTF">2026-06-12T07:23:22Z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0x01010072CDC9293DBB0D4190A49C07FE5C5C42</vt:lpwstr>
  </property>
</Properties>
</file>