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jc w:val="center"/>
      </w:pPr>
      <w:r>
        <w:rPr>
          <w:rFonts w:ascii="Arial" w:cs="Arial" w:eastAsia="Arial" w:hAnsi="Arial"/>
          <w:b/>
          <w:bCs/>
          <w:sz w:val="28"/>
          <w:szCs w:val="28"/>
        </w:rPr>
        <w:t xml:space="preserve">STATEMENT OF WORK — PATENT REVIEW AND FILING SERVICES</w:t>
      </w:r>
    </w:p>
    <w:p>
      <w:pPr>
        <w:spacing w:after="320"/>
        <w:jc w:val="center"/>
      </w:pPr>
      <w:r>
        <w:rPr>
          <w:rFonts w:ascii="Arial" w:cs="Arial" w:eastAsia="Arial" w:hAnsi="Arial"/>
          <w:i/>
          <w:iCs/>
          <w:color w:val="555555"/>
          <w:sz w:val="20"/>
          <w:szCs w:val="20"/>
        </w:rPr>
        <w:t xml:space="preserve">Between Vimal Veereshwarayya (“Service Seeker”) and IPflair Consulting Pvt Ltd (“Service Provider”) · Governed by and incorporating the Confidentiality and Nondisclosure Agreement dated ____________ (“NDA”) · CONFIDENTIAL — VERIXA PATENT FILING MATERIAL</w:t>
      </w:r>
    </w:p>
    <w:p>
      <w:pPr>
        <w:spacing w:after="160" w:before="280"/>
      </w:pPr>
      <w:r>
        <w:rPr>
          <w:rFonts w:ascii="Arial" w:cs="Arial" w:eastAsia="Arial" w:hAnsi="Arial"/>
          <w:b/>
          <w:bCs/>
          <w:sz w:val="24"/>
          <w:szCs w:val="24"/>
        </w:rPr>
        <w:t xml:space="preserve">Parties</w:t>
      </w:r>
    </w:p>
    <w:p>
      <w:pPr>
        <w:spacing w:after="160"/>
      </w:pPr>
      <w:r>
        <w:rPr>
          <w:rFonts w:ascii="Arial" w:cs="Arial" w:eastAsia="Arial" w:hAnsi="Arial"/>
          <w:sz w:val="22"/>
          <w:szCs w:val="22"/>
        </w:rPr>
        <w:t xml:space="preserve">For purposes of this SOW, “Service Seeker” includes Vimal Veereshwarayya and any affiliate, nominee, successor, assignee, licensee, or applicant entity designated by him in writing in relation to the relevant intellectual property.</w:t>
      </w:r>
    </w:p>
    <w:p>
      <w:pPr>
        <w:spacing w:after="160" w:before="280"/>
      </w:pPr>
      <w:r>
        <w:rPr>
          <w:rFonts w:ascii="Arial" w:cs="Arial" w:eastAsia="Arial" w:hAnsi="Arial"/>
          <w:b/>
          <w:bCs/>
          <w:sz w:val="24"/>
          <w:szCs w:val="24"/>
        </w:rPr>
        <w:t xml:space="preserve">1. Scope</w:t>
      </w:r>
    </w:p>
    <w:p>
      <w:pPr>
        <w:spacing w:after="160"/>
      </w:pPr>
      <w:r>
        <w:rPr>
          <w:rFonts w:ascii="Arial" w:cs="Arial" w:eastAsia="Arial" w:hAnsi="Arial"/>
          <w:sz w:val="22"/>
          <w:szCs w:val="22"/>
        </w:rPr>
        <w:t xml:space="preserve">Service Provider is engaged only to review and/or file already-drafted Service Seeker Form 2 provisional patent specifications and drawings. Service Provider shall not replace, condense, rewrite, summarise, or convert the specifications into any short-form provisional format without Service Seeker’s prior written approval. No drafting of new specifications is included in this engagement.</w:t>
      </w:r>
    </w:p>
    <w:p>
      <w:pPr>
        <w:spacing w:after="160" w:before="280"/>
      </w:pPr>
      <w:r>
        <w:rPr>
          <w:rFonts w:ascii="Arial" w:cs="Arial" w:eastAsia="Arial" w:hAnsi="Arial"/>
          <w:b/>
          <w:bCs/>
          <w:sz w:val="24"/>
          <w:szCs w:val="24"/>
        </w:rPr>
        <w:t xml:space="preserve">2. Stages and Deliverables</w:t>
      </w:r>
    </w:p>
    <w:p>
      <w:pPr>
        <w:spacing w:after="160"/>
      </w:pPr>
      <w:r>
        <w:rPr>
          <w:rFonts w:ascii="Arial" w:cs="Arial" w:eastAsia="Arial" w:hAnsi="Arial"/>
          <w:b/>
          <w:bCs/>
          <w:sz w:val="22"/>
          <w:szCs w:val="22"/>
        </w:rPr>
        <w:t xml:space="preserve">Stage 1 — Paid technical review (two families designated by Service Seeker):</w:t>
      </w:r>
    </w:p>
    <w:p>
      <w:pPr>
        <w:pStyle w:val="ListParagraph"/>
        <w:numPr>
          <w:ilvl w:val="0"/>
          <w:numId w:val="2"/>
        </w:numPr>
        <w:spacing w:after="100"/>
      </w:pPr>
      <w:r>
        <w:rPr>
          <w:rFonts w:ascii="Arial" w:cs="Arial" w:eastAsia="Arial" w:hAnsi="Arial"/>
          <w:sz w:val="21"/>
          <w:szCs w:val="21"/>
        </w:rPr>
        <w:t xml:space="preserve">Executed NDA (with Service Seeker edits).</w:t>
      </w:r>
    </w:p>
    <w:p>
      <w:pPr>
        <w:pStyle w:val="ListParagraph"/>
        <w:numPr>
          <w:ilvl w:val="0"/>
          <w:numId w:val="2"/>
        </w:numPr>
        <w:spacing w:after="100"/>
      </w:pPr>
      <w:r>
        <w:rPr>
          <w:rFonts w:ascii="Arial" w:cs="Arial" w:eastAsia="Arial" w:hAnsi="Arial"/>
          <w:sz w:val="21"/>
          <w:szCs w:val="21"/>
        </w:rPr>
        <w:t xml:space="preserve">Written confirmation that Service Provider has completed a conflict check and has no current or prior engagement that would conflict with acting for Service Seeker on the relevant patent families. Service Provider shall promptly notify Service Seeker if any potential conflict arises during the engagement.</w:t>
      </w:r>
    </w:p>
    <w:p>
      <w:pPr>
        <w:pStyle w:val="ListParagraph"/>
        <w:numPr>
          <w:ilvl w:val="0"/>
          <w:numId w:val="2"/>
        </w:numPr>
        <w:spacing w:after="100"/>
      </w:pPr>
      <w:r>
        <w:rPr>
          <w:rFonts w:ascii="Arial" w:cs="Arial" w:eastAsia="Arial" w:hAnsi="Arial"/>
          <w:sz w:val="21"/>
          <w:szCs w:val="21"/>
        </w:rPr>
        <w:t xml:space="preserve">Named reviewer: registered patent agent name, IN/PA registration number, and role.</w:t>
      </w:r>
    </w:p>
    <w:p>
      <w:pPr>
        <w:pStyle w:val="ListParagraph"/>
        <w:numPr>
          <w:ilvl w:val="0"/>
          <w:numId w:val="2"/>
        </w:numPr>
        <w:spacing w:after="100"/>
      </w:pPr>
      <w:r>
        <w:rPr>
          <w:rFonts w:ascii="Arial" w:cs="Arial" w:eastAsia="Arial" w:hAnsi="Arial"/>
          <w:sz w:val="21"/>
          <w:szCs w:val="21"/>
        </w:rPr>
        <w:t xml:space="preserve">Written review of the two designated families covering claim-support, novelty positioning against the prior-art reference designated by Service Seeker, and Section 3(k) framing under the 2025 CRI Guidelines (technical problem, technical means, technical effect).</w:t>
      </w:r>
    </w:p>
    <w:p>
      <w:pPr>
        <w:pStyle w:val="ListParagraph"/>
        <w:numPr>
          <w:ilvl w:val="0"/>
          <w:numId w:val="2"/>
        </w:numPr>
        <w:spacing w:after="100"/>
      </w:pPr>
      <w:r>
        <w:rPr>
          <w:rFonts w:ascii="Arial" w:cs="Arial" w:eastAsia="Arial" w:hAnsi="Arial"/>
          <w:sz w:val="21"/>
          <w:szCs w:val="21"/>
        </w:rPr>
        <w:t xml:space="preserve">If requested by Service Seeker, Service Provider shall perform an independent novelty search on the two designated families, with the search strategy, databases used, search strings/classes reviewed, material results, and comments documented in writing. The novelty search shall be separately quoted in advance and shall not delay filing unless Service Seeker agrees in writing.</w:t>
      </w:r>
    </w:p>
    <w:p>
      <w:pPr>
        <w:pStyle w:val="ListParagraph"/>
        <w:numPr>
          <w:ilvl w:val="0"/>
          <w:numId w:val="2"/>
        </w:numPr>
        <w:spacing w:after="100"/>
      </w:pPr>
      <w:r>
        <w:rPr>
          <w:rFonts w:ascii="Arial" w:cs="Arial" w:eastAsia="Arial" w:hAnsi="Arial"/>
          <w:sz w:val="21"/>
          <w:szCs w:val="21"/>
        </w:rPr>
        <w:t xml:space="preserve">Fixed professional fee quoted in writing before commencement.</w:t>
      </w:r>
    </w:p>
    <w:p>
      <w:pPr>
        <w:spacing w:after="160"/>
      </w:pPr>
      <w:r>
        <w:rPr>
          <w:rFonts w:ascii="Arial" w:cs="Arial" w:eastAsia="Arial" w:hAnsi="Arial"/>
          <w:b/>
          <w:bCs/>
          <w:sz w:val="22"/>
          <w:szCs w:val="22"/>
        </w:rPr>
        <w:t xml:space="preserve">Stage 2 — Filing as agent of record (eight applications), either after Stage 1 acceptance or earlier upon Service Seeker’s written instruction:</w:t>
      </w:r>
    </w:p>
    <w:p>
      <w:pPr>
        <w:pStyle w:val="ListParagraph"/>
        <w:numPr>
          <w:ilvl w:val="0"/>
          <w:numId w:val="2"/>
        </w:numPr>
        <w:spacing w:after="100"/>
      </w:pPr>
      <w:r>
        <w:rPr>
          <w:rFonts w:ascii="Arial" w:cs="Arial" w:eastAsia="Arial" w:hAnsi="Arial"/>
          <w:sz w:val="21"/>
          <w:szCs w:val="21"/>
        </w:rPr>
        <w:t xml:space="preserve">E-filing of all eight provisional specifications exactly as approved by Service Seeker, with Form 1 and Form 26 support.</w:t>
      </w:r>
    </w:p>
    <w:p>
      <w:pPr>
        <w:pStyle w:val="ListParagraph"/>
        <w:numPr>
          <w:ilvl w:val="0"/>
          <w:numId w:val="2"/>
        </w:numPr>
        <w:spacing w:after="100"/>
      </w:pPr>
      <w:r>
        <w:rPr>
          <w:rFonts w:ascii="Arial" w:cs="Arial" w:eastAsia="Arial" w:hAnsi="Arial"/>
          <w:sz w:val="21"/>
          <w:szCs w:val="21"/>
        </w:rPr>
        <w:t xml:space="preserve">Filing-only fee per application at eight-application portfolio volume, government fees, and any excess page, drawing, or claim charges quoted in writing, per application, before filing.</w:t>
      </w:r>
    </w:p>
    <w:p>
      <w:pPr>
        <w:pStyle w:val="ListParagraph"/>
        <w:numPr>
          <w:ilvl w:val="0"/>
          <w:numId w:val="2"/>
        </w:numPr>
        <w:spacing w:after="100"/>
      </w:pPr>
      <w:r>
        <w:rPr>
          <w:rFonts w:ascii="Arial" w:cs="Arial" w:eastAsia="Arial" w:hAnsi="Arial"/>
          <w:sz w:val="21"/>
          <w:szCs w:val="21"/>
        </w:rPr>
        <w:t xml:space="preserve">Filing receipts and application numbers delivered within one (1) working day of each filing.</w:t>
      </w:r>
    </w:p>
    <w:p>
      <w:pPr>
        <w:pStyle w:val="ListParagraph"/>
        <w:numPr>
          <w:ilvl w:val="0"/>
          <w:numId w:val="2"/>
        </w:numPr>
        <w:spacing w:after="100"/>
      </w:pPr>
      <w:r>
        <w:rPr>
          <w:rFonts w:ascii="Arial" w:cs="Arial" w:eastAsia="Arial" w:hAnsi="Arial"/>
          <w:sz w:val="21"/>
          <w:szCs w:val="21"/>
        </w:rPr>
        <w:t xml:space="preserve">Docket report listing, per application: complete-specification deadline, expected publication timeline, Request for Examination deadline, and next actions.</w:t>
      </w:r>
    </w:p>
    <w:p>
      <w:pPr>
        <w:spacing w:after="160"/>
      </w:pPr>
      <w:r>
        <w:rPr>
          <w:rFonts w:ascii="Arial" w:cs="Arial" w:eastAsia="Arial" w:hAnsi="Arial"/>
          <w:b/>
          <w:bCs/>
          <w:sz w:val="22"/>
          <w:szCs w:val="22"/>
        </w:rPr>
        <w:t xml:space="preserve">Stage 3 — Complete specifications: </w:t>
      </w:r>
      <w:r>
        <w:rPr>
          <w:rFonts w:ascii="Arial" w:cs="Arial" w:eastAsia="Arial" w:hAnsi="Arial"/>
          <w:sz w:val="22"/>
          <w:szCs w:val="22"/>
        </w:rPr>
        <w:t xml:space="preserve">expressly out of scope of this SOW. The complete-specification and prosecution engagement across the eight families may be awarded after Stages 1–2 based on quality and portfolio-level commercials, under a separate agreement. Any rate indication provided by Service Provider for Stage 3 is non-binding on Service Seeker.</w:t>
      </w:r>
    </w:p>
    <w:p>
      <w:pPr>
        <w:spacing w:after="160" w:before="280"/>
      </w:pPr>
      <w:r>
        <w:rPr>
          <w:rFonts w:ascii="Arial" w:cs="Arial" w:eastAsia="Arial" w:hAnsi="Arial"/>
          <w:b/>
          <w:bCs/>
          <w:sz w:val="24"/>
          <w:szCs w:val="24"/>
        </w:rPr>
        <w:t xml:space="preserve">3. Filing Authority</w:t>
      </w:r>
    </w:p>
    <w:p>
      <w:pPr>
        <w:spacing w:after="160"/>
      </w:pPr>
      <w:r>
        <w:rPr>
          <w:rFonts w:ascii="Arial" w:cs="Arial" w:eastAsia="Arial" w:hAnsi="Arial"/>
          <w:sz w:val="22"/>
          <w:szCs w:val="22"/>
        </w:rPr>
        <w:t xml:space="preserve">Service Provider shall not file any application, amendment, form, response, assignment, withdrawal, request for publication, request for examination, or other document with any patent office unless Service Seeker has approved the exact final filing package in writing. Each approved filing package shall be identified by file name, version date, and/or checksum. Service Provider shall file only the exact version approved by Service Seeker in writing. Service Provider may propose clerical, formatting, or procedural corrections, but no change shall be made or filed unless approved by Service Seeker in writing.</w:t>
      </w:r>
    </w:p>
    <w:p>
      <w:pPr>
        <w:spacing w:after="160" w:before="280"/>
      </w:pPr>
      <w:r>
        <w:rPr>
          <w:rFonts w:ascii="Arial" w:cs="Arial" w:eastAsia="Arial" w:hAnsi="Arial"/>
          <w:b/>
          <w:bCs/>
          <w:sz w:val="24"/>
          <w:szCs w:val="24"/>
        </w:rPr>
        <w:t xml:space="preserve">4. Foreign Filing Restriction</w:t>
      </w:r>
    </w:p>
    <w:p>
      <w:pPr>
        <w:spacing w:after="160"/>
      </w:pPr>
      <w:r>
        <w:rPr>
          <w:rFonts w:ascii="Arial" w:cs="Arial" w:eastAsia="Arial" w:hAnsi="Arial"/>
          <w:sz w:val="22"/>
          <w:szCs w:val="22"/>
        </w:rPr>
        <w:t xml:space="preserve">Service Provider shall not file, instruct, coordinate, transmit for filing, or cause any patent application to be filed outside India without Service Seeker’s prior written approval and confirmation of compliance with Section 39 of the Patents Act, 1970. No foreign counsel, non-India reviewer, offshore team, external consultant, or subcontractor may access the specifications or related confidential materials at any time without Service Seeker’s prior written approval.</w:t>
      </w:r>
    </w:p>
    <w:p>
      <w:pPr>
        <w:spacing w:after="160" w:before="280"/>
      </w:pPr>
      <w:r>
        <w:rPr>
          <w:rFonts w:ascii="Arial" w:cs="Arial" w:eastAsia="Arial" w:hAnsi="Arial"/>
          <w:b/>
          <w:bCs/>
          <w:sz w:val="24"/>
          <w:szCs w:val="24"/>
        </w:rPr>
        <w:t xml:space="preserve">5. Fee Controls</w:t>
      </w:r>
    </w:p>
    <w:p>
      <w:pPr>
        <w:spacing w:after="160"/>
      </w:pPr>
      <w:r>
        <w:rPr>
          <w:rFonts w:ascii="Arial" w:cs="Arial" w:eastAsia="Arial" w:hAnsi="Arial"/>
          <w:sz w:val="22"/>
          <w:szCs w:val="22"/>
        </w:rPr>
        <w:t xml:space="preserve">Pricing under this SOW reflects filing-only and review-only scope at eight-application portfolio volume; no drafting fee is payable for the pre-drafted specifications. No disbursement, excess-page charge, excess-claim charge, professional fee, search fee, Form 3 fee, hearing fee, or prosecution fee is payable unless quoted in writing and approved by Service Seeker before the work is performed. All quotes shall state GST separately. Any “disbursement” line item shall be itemised; lump-sum disbursements will not be approved.</w:t>
      </w:r>
    </w:p>
    <w:p>
      <w:pPr>
        <w:spacing w:after="160" w:before="280"/>
      </w:pPr>
      <w:r>
        <w:rPr>
          <w:rFonts w:ascii="Arial" w:cs="Arial" w:eastAsia="Arial" w:hAnsi="Arial"/>
          <w:b/>
          <w:bCs/>
          <w:sz w:val="24"/>
          <w:szCs w:val="24"/>
        </w:rPr>
        <w:t xml:space="preserve">6. Work Product Ownership</w:t>
      </w:r>
    </w:p>
    <w:p>
      <w:pPr>
        <w:spacing w:after="160"/>
      </w:pPr>
      <w:r>
        <w:rPr>
          <w:rFonts w:ascii="Arial" w:cs="Arial" w:eastAsia="Arial" w:hAnsi="Arial"/>
          <w:sz w:val="22"/>
          <w:szCs w:val="22"/>
        </w:rPr>
        <w:t xml:space="preserve">All deliverables, claim drafts, amendments, prosecution responses, search summaries, annotations, filing documents, and written advice prepared for Service Seeker shall be owned by Service Seeker upon payment, excluding Service Provider’s pre-existing generic templates and know-how. Service Provider shall not reuse any Service Seeker-specific deliverable for any other client.</w:t>
      </w:r>
    </w:p>
    <w:p>
      <w:pPr>
        <w:spacing w:after="160" w:before="280"/>
      </w:pPr>
      <w:r>
        <w:rPr>
          <w:rFonts w:ascii="Arial" w:cs="Arial" w:eastAsia="Arial" w:hAnsi="Arial"/>
          <w:b/>
          <w:bCs/>
          <w:sz w:val="24"/>
          <w:szCs w:val="24"/>
        </w:rPr>
        <w:t xml:space="preserve">7. No Invention Disclosure Form</w:t>
      </w:r>
    </w:p>
    <w:p>
      <w:pPr>
        <w:spacing w:after="160"/>
      </w:pPr>
      <w:r>
        <w:rPr>
          <w:rFonts w:ascii="Arial" w:cs="Arial" w:eastAsia="Arial" w:hAnsi="Arial"/>
          <w:sz w:val="22"/>
          <w:szCs w:val="22"/>
        </w:rPr>
        <w:t xml:space="preserve">No separate Invention Disclosure Form (IDF) shall be required or completed. The approved Form 2 specifications and drawings are the operative invention disclosure record for this engagement.</w:t>
      </w:r>
    </w:p>
    <w:p>
      <w:pPr>
        <w:spacing w:after="160" w:before="280"/>
      </w:pPr>
      <w:r>
        <w:rPr>
          <w:rFonts w:ascii="Arial" w:cs="Arial" w:eastAsia="Arial" w:hAnsi="Arial"/>
          <w:b/>
          <w:bCs/>
          <w:sz w:val="24"/>
          <w:szCs w:val="24"/>
        </w:rPr>
        <w:t xml:space="preserve">8. Confidentiality and Access</w:t>
      </w:r>
    </w:p>
    <w:p>
      <w:pPr>
        <w:spacing w:after="160"/>
      </w:pPr>
      <w:r>
        <w:rPr>
          <w:rFonts w:ascii="Arial" w:cs="Arial" w:eastAsia="Arial" w:hAnsi="Arial"/>
          <w:sz w:val="22"/>
          <w:szCs w:val="22"/>
        </w:rPr>
        <w:t xml:space="preserve">The NDA governs all materials exchanged under this SOW, including its restrictions on Representatives, subcontractor approval, AI/cloud tools, and breach notification. All transmittals shall carry the legend “CONFIDENTIAL — VERIXA PATENT FILING MATERIAL”.</w:t>
      </w:r>
    </w:p>
    <w:p>
      <w:pPr>
        <w:spacing w:after="160" w:before="280"/>
      </w:pPr>
      <w:r>
        <w:rPr>
          <w:rFonts w:ascii="Arial" w:cs="Arial" w:eastAsia="Arial" w:hAnsi="Arial"/>
          <w:b/>
          <w:bCs/>
          <w:sz w:val="24"/>
          <w:szCs w:val="24"/>
        </w:rPr>
        <w:t xml:space="preserve">9. Term and Termination</w:t>
      </w:r>
    </w:p>
    <w:p>
      <w:pPr>
        <w:spacing w:after="160"/>
      </w:pPr>
      <w:r>
        <w:rPr>
          <w:rFonts w:ascii="Arial" w:cs="Arial" w:eastAsia="Arial" w:hAnsi="Arial"/>
          <w:sz w:val="22"/>
          <w:szCs w:val="22"/>
        </w:rPr>
        <w:t xml:space="preserve">Either party may terminate this SOW on written notice. On termination, Service Provider shall be paid for approved work completed, and the return/destruction obligations of the NDA apply immediately. Service Provider shall not assert any lien, withholding right, or payment-related hold over Service Seeker’s specifications, drawings, filing documents, filing receipts, application numbers, docket data, or work product required to preserve or protect Service Seeker’s patent rights. Upon termination or request, Service Provider shall promptly return or transfer all such materials and provide reasonable transition cooperation.</w:t>
      </w:r>
    </w:p>
    <w:p>
      <w:pPr>
        <w:spacing w:after="240" w:before="360"/>
      </w:pPr>
      <w:r>
        <w:rPr>
          <w:rFonts w:ascii="Arial" w:cs="Arial" w:eastAsia="Arial" w:hAnsi="Arial"/>
          <w:b/>
          <w:bCs/>
          <w:sz w:val="22"/>
          <w:szCs w:val="22"/>
        </w:rPr>
        <w:t xml:space="preserve">AGREED AND ACCEPTED BY: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1"/>
              <w:left w:val="single" w:color="AAAAAA" w:sz="1"/>
              <w:bottom w:val="single" w:color="AAAAAA" w:sz="1"/>
              <w:right w:val="single" w:color="AAAAAA" w:sz="1"/>
            </w:tcBorders>
            <w:shd w:fill="E8EEF7" w:val="clear"/>
            <w:tcMar>
              <w:top w:type="dxa" w:w="80"/>
              <w:left w:type="dxa" w:w="120"/>
              <w:bottom w:type="dxa" w:w="80"/>
              <w:right w:type="dxa" w:w="120"/>
            </w:tcMar>
          </w:tcPr>
          <w:p>
            <w:r>
              <w:rPr>
                <w:rFonts w:ascii="Arial" w:cs="Arial" w:eastAsia="Arial" w:hAnsi="Arial"/>
                <w:b/>
                <w:bCs/>
                <w:sz w:val="20"/>
                <w:szCs w:val="20"/>
              </w:rPr>
              <w:t xml:space="preserve">SERVICE SEEKER</w:t>
            </w:r>
          </w:p>
        </w:tc>
        <w:tc>
          <w:tcPr>
            <w:tcW w:type="dxa" w:w="4513"/>
            <w:tcBorders>
              <w:top w:val="single" w:color="AAAAAA" w:sz="1"/>
              <w:left w:val="single" w:color="AAAAAA" w:sz="1"/>
              <w:bottom w:val="single" w:color="AAAAAA" w:sz="1"/>
              <w:right w:val="single" w:color="AAAAAA" w:sz="1"/>
            </w:tcBorders>
            <w:shd w:fill="E8EEF7" w:val="clear"/>
            <w:tcMar>
              <w:top w:type="dxa" w:w="80"/>
              <w:left w:type="dxa" w:w="120"/>
              <w:bottom w:type="dxa" w:w="80"/>
              <w:right w:type="dxa" w:w="120"/>
            </w:tcMar>
          </w:tcPr>
          <w:p>
            <w:r>
              <w:rPr>
                <w:rFonts w:ascii="Arial" w:cs="Arial" w:eastAsia="Arial" w:hAnsi="Arial"/>
                <w:b/>
                <w:bCs/>
                <w:sz w:val="20"/>
                <w:szCs w:val="20"/>
              </w:rPr>
              <w:t xml:space="preserve">SERVICE PROVIDER</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Signed:</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Signed:</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Name: Vimal Veereshwarayya</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Name:</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Title: Sole Inventor &amp; Applicant</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Title:</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Date:</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Date:</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DC9293DBB0D4190A49C07FE5C5C42" ma:contentTypeVersion="10" ma:contentTypeDescription="Create a new document." ma:contentTypeScope="" ma:versionID="ee3347f9e17981830c50ed8ff15275ab">
  <xsd:schema xmlns:xsd="http://www.w3.org/2001/XMLSchema" xmlns:xs="http://www.w3.org/2001/XMLSchema" xmlns:p="http://schemas.microsoft.com/office/2006/metadata/properties" xmlns:ns2="76935354-188e-47b9-bde5-cf8fba0c8be5" targetNamespace="http://schemas.microsoft.com/office/2006/metadata/properties" ma:root="true" ma:fieldsID="b913bbdfa129bc70be1f2aed6f7204eb" ns2:_="">
    <xsd:import namespace="76935354-188e-47b9-bde5-cf8fba0c8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35354-188e-47b9-bde5-cf8fba0c8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54207-aa0b-49b1-9516-5a42b324ee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35354-188e-47b9-bde5-cf8fba0c8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7B727-87C6-4BD0-A4E6-8BC79B29179A}"/>
</file>

<file path=customXml/itemProps2.xml><?xml version="1.0" encoding="utf-8"?>
<ds:datastoreItem xmlns:ds="http://schemas.openxmlformats.org/officeDocument/2006/customXml" ds:itemID="{8D223252-D469-4C89-AB49-1630F43F2D2F}"/>
</file>

<file path=customXml/itemProps3.xml><?xml version="1.0" encoding="utf-8"?>
<ds:datastoreItem xmlns:ds="http://schemas.openxmlformats.org/officeDocument/2006/customXml" ds:itemID="{B8FC30EA-51C7-48D2-8FA3-8A71AE5DE9B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2026-06-12T07:38:41Z</dcterms:created>
  <dcterms:modified xsi:type="dcterms:W3CDTF">2026-06-12T07:38:41Z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0x01010072CDC9293DBB0D4190A49C07FE5C5C42</vt:lpwstr>
  </property>
</Properties>
</file>